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2DB6" w14:textId="62B9762D" w:rsidR="008F72CC" w:rsidRDefault="009C0634" w:rsidP="00A760FA">
      <w:pPr>
        <w:spacing w:after="0" w:line="240" w:lineRule="auto"/>
        <w:jc w:val="center"/>
        <w:rPr>
          <w:rFonts w:ascii="Times New Roman" w:hAnsi="Times New Roman"/>
          <w:b/>
          <w:bCs/>
          <w:color w:val="AF0FCB"/>
          <w:sz w:val="28"/>
          <w:szCs w:val="28"/>
        </w:rPr>
      </w:pPr>
      <w:r w:rsidRPr="009C0634">
        <w:rPr>
          <w:rFonts w:ascii="Times New Roman" w:hAnsi="Times New Roman"/>
          <w:b/>
          <w:bCs/>
          <w:color w:val="AF0FCB"/>
          <w:sz w:val="28"/>
          <w:szCs w:val="28"/>
        </w:rPr>
        <w:t xml:space="preserve">A influência da regulação para a governança corporativa no setor bancário e sua associação com indicadores de desempenho e </w:t>
      </w:r>
      <w:bookmarkStart w:id="0" w:name="_Hlk146280331"/>
      <w:r w:rsidRPr="009C0634">
        <w:rPr>
          <w:rFonts w:ascii="Times New Roman" w:hAnsi="Times New Roman"/>
          <w:b/>
          <w:bCs/>
          <w:color w:val="AF0FCB"/>
          <w:sz w:val="28"/>
          <w:szCs w:val="28"/>
        </w:rPr>
        <w:t>risco</w:t>
      </w:r>
      <w:bookmarkEnd w:id="0"/>
    </w:p>
    <w:p w14:paraId="08C17573" w14:textId="77777777" w:rsidR="009C0634" w:rsidRDefault="009C0634" w:rsidP="00A760FA">
      <w:pPr>
        <w:spacing w:after="0" w:line="240" w:lineRule="auto"/>
        <w:jc w:val="center"/>
        <w:rPr>
          <w:rFonts w:ascii="Times New Roman" w:hAnsi="Times New Roman"/>
          <w:bCs/>
          <w:sz w:val="24"/>
          <w:szCs w:val="24"/>
        </w:rPr>
      </w:pPr>
    </w:p>
    <w:p w14:paraId="1AEFAC75" w14:textId="77777777" w:rsidR="00A760FA" w:rsidRPr="00A760FA" w:rsidRDefault="00A760FA" w:rsidP="00A760FA">
      <w:pPr>
        <w:spacing w:after="0" w:line="240" w:lineRule="auto"/>
        <w:jc w:val="center"/>
        <w:rPr>
          <w:rFonts w:ascii="Times New Roman" w:hAnsi="Times New Roman"/>
          <w:bCs/>
          <w:sz w:val="24"/>
          <w:szCs w:val="24"/>
        </w:rPr>
      </w:pPr>
    </w:p>
    <w:p w14:paraId="12A7B41C" w14:textId="77777777" w:rsidR="009C0634" w:rsidRDefault="009C0634" w:rsidP="00DC3D53">
      <w:pPr>
        <w:spacing w:after="0" w:line="240" w:lineRule="auto"/>
        <w:jc w:val="center"/>
        <w:rPr>
          <w:rFonts w:ascii="Times New Roman" w:hAnsi="Times New Roman"/>
          <w:b/>
          <w:bCs/>
          <w:color w:val="AF0FCB"/>
          <w:sz w:val="24"/>
          <w:szCs w:val="24"/>
        </w:rPr>
      </w:pPr>
      <w:r w:rsidRPr="009C0634">
        <w:rPr>
          <w:rFonts w:ascii="Times New Roman" w:hAnsi="Times New Roman"/>
          <w:b/>
          <w:bCs/>
          <w:color w:val="AF0FCB"/>
          <w:sz w:val="24"/>
          <w:szCs w:val="24"/>
        </w:rPr>
        <w:t>Bruna Joana Goulart</w:t>
      </w:r>
    </w:p>
    <w:p w14:paraId="3694976C" w14:textId="77777777" w:rsidR="009C0634" w:rsidRDefault="009C0634" w:rsidP="00DC3D53">
      <w:pPr>
        <w:spacing w:after="0" w:line="240" w:lineRule="auto"/>
        <w:jc w:val="center"/>
        <w:rPr>
          <w:rFonts w:ascii="Times New Roman" w:hAnsi="Times New Roman"/>
          <w:b/>
          <w:bCs/>
          <w:color w:val="AF0FCB"/>
          <w:sz w:val="24"/>
          <w:szCs w:val="24"/>
        </w:rPr>
      </w:pPr>
    </w:p>
    <w:p w14:paraId="309D9870" w14:textId="46B55BEE" w:rsidR="009C0634" w:rsidRDefault="009C0634" w:rsidP="00DC3D53">
      <w:pPr>
        <w:spacing w:after="0" w:line="240" w:lineRule="auto"/>
        <w:jc w:val="center"/>
        <w:rPr>
          <w:rFonts w:ascii="Times New Roman" w:hAnsi="Times New Roman"/>
          <w:b/>
          <w:bCs/>
          <w:color w:val="AF0FCB"/>
          <w:sz w:val="24"/>
          <w:szCs w:val="24"/>
        </w:rPr>
      </w:pPr>
      <w:r w:rsidRPr="009C0634">
        <w:rPr>
          <w:rFonts w:ascii="Times New Roman" w:hAnsi="Times New Roman"/>
          <w:b/>
          <w:bCs/>
          <w:color w:val="AF0FCB"/>
          <w:sz w:val="24"/>
          <w:szCs w:val="24"/>
        </w:rPr>
        <w:t>Sérgio Murilo Petri</w:t>
      </w:r>
    </w:p>
    <w:p w14:paraId="28173219" w14:textId="77777777" w:rsidR="00DC3D53" w:rsidRDefault="00DC3D53" w:rsidP="00A760FA">
      <w:pPr>
        <w:spacing w:after="0" w:line="240" w:lineRule="auto"/>
        <w:jc w:val="both"/>
        <w:rPr>
          <w:rFonts w:ascii="Times New Roman" w:hAnsi="Times New Roman"/>
          <w:b/>
          <w:color w:val="AF0FCB"/>
          <w:sz w:val="24"/>
          <w:szCs w:val="24"/>
        </w:rPr>
      </w:pPr>
    </w:p>
    <w:p w14:paraId="60427726" w14:textId="21BB4372" w:rsidR="00A760FA" w:rsidRPr="00A760FA" w:rsidRDefault="00A760FA" w:rsidP="00A760FA">
      <w:pPr>
        <w:spacing w:after="0" w:line="240" w:lineRule="auto"/>
        <w:jc w:val="both"/>
        <w:rPr>
          <w:rFonts w:ascii="Times New Roman" w:hAnsi="Times New Roman"/>
          <w:b/>
          <w:color w:val="AF0FCB"/>
          <w:sz w:val="24"/>
          <w:szCs w:val="24"/>
        </w:rPr>
      </w:pPr>
      <w:r w:rsidRPr="00A760FA">
        <w:rPr>
          <w:rFonts w:ascii="Times New Roman" w:hAnsi="Times New Roman"/>
          <w:b/>
          <w:color w:val="AF0FCB"/>
          <w:sz w:val="24"/>
          <w:szCs w:val="24"/>
        </w:rPr>
        <w:t>RESUMO</w:t>
      </w:r>
    </w:p>
    <w:p w14:paraId="6B946AA2" w14:textId="354E47D5" w:rsidR="008F72CC" w:rsidRDefault="009C0634" w:rsidP="00A760FA">
      <w:pPr>
        <w:spacing w:after="0" w:line="240" w:lineRule="auto"/>
        <w:jc w:val="both"/>
        <w:rPr>
          <w:rFonts w:ascii="Times New Roman" w:hAnsi="Times New Roman"/>
          <w:sz w:val="24"/>
          <w:szCs w:val="24"/>
        </w:rPr>
      </w:pPr>
      <w:r w:rsidRPr="009C0634">
        <w:rPr>
          <w:rFonts w:ascii="Times New Roman" w:hAnsi="Times New Roman"/>
          <w:sz w:val="24"/>
          <w:szCs w:val="24"/>
        </w:rPr>
        <w:t>Em 1776, Adam Smith, na obra a Riqueza das Nações e a Natureza das Suas Causas, pode ter dado início a introdução do que vem a ser chamado de Governança Corporativa, pois, em sua obra, o autor traz definições do termo “divisão do trabalho” determinando que com tal forma é possível se obter melhores rendimentos do trabalho, pois, com a divisão se tem mais especialização e assim um aumento da produtividade, suportam essa afirmação Ribeiro; Souza, (2022); Simões; Souza, (2020); Corso; Eckert; Pompermayer, ( 2020) . Dessa forma, é observável a derivação da profissionalização da gestão como resultado da divisão (ECKERT, et al., 2023; LUCIANI, et al., 2021).</w:t>
      </w:r>
    </w:p>
    <w:p w14:paraId="5B1B8CA3" w14:textId="77777777" w:rsidR="009C0634" w:rsidRDefault="009C0634" w:rsidP="00A760FA">
      <w:pPr>
        <w:spacing w:after="0" w:line="240" w:lineRule="auto"/>
        <w:jc w:val="both"/>
        <w:rPr>
          <w:rFonts w:ascii="Times New Roman" w:hAnsi="Times New Roman"/>
          <w:sz w:val="24"/>
          <w:szCs w:val="24"/>
        </w:rPr>
      </w:pPr>
    </w:p>
    <w:p w14:paraId="6D8667A7" w14:textId="759955D8" w:rsidR="00A760FA" w:rsidRPr="00A760FA" w:rsidRDefault="00A760FA" w:rsidP="00A760FA">
      <w:pPr>
        <w:spacing w:after="0" w:line="240" w:lineRule="auto"/>
        <w:jc w:val="both"/>
        <w:rPr>
          <w:rFonts w:ascii="Times New Roman" w:hAnsi="Times New Roman"/>
          <w:sz w:val="24"/>
          <w:szCs w:val="24"/>
        </w:rPr>
      </w:pPr>
      <w:r w:rsidRPr="00A760FA">
        <w:rPr>
          <w:rFonts w:ascii="Times New Roman" w:hAnsi="Times New Roman"/>
          <w:b/>
          <w:color w:val="AF0FCB"/>
          <w:sz w:val="24"/>
          <w:szCs w:val="24"/>
        </w:rPr>
        <w:t>Palavras-chave:</w:t>
      </w:r>
      <w:r>
        <w:rPr>
          <w:rFonts w:ascii="Times New Roman" w:hAnsi="Times New Roman"/>
          <w:sz w:val="24"/>
          <w:szCs w:val="24"/>
        </w:rPr>
        <w:t xml:space="preserve"> </w:t>
      </w:r>
      <w:r w:rsidR="00B77044" w:rsidRPr="00B77044">
        <w:rPr>
          <w:rFonts w:ascii="Times New Roman" w:hAnsi="Times New Roman"/>
          <w:sz w:val="24"/>
          <w:szCs w:val="24"/>
        </w:rPr>
        <w:t>Regulação</w:t>
      </w:r>
      <w:r w:rsidR="00B77044">
        <w:rPr>
          <w:rFonts w:ascii="Times New Roman" w:hAnsi="Times New Roman"/>
          <w:sz w:val="24"/>
          <w:szCs w:val="24"/>
        </w:rPr>
        <w:t xml:space="preserve">, </w:t>
      </w:r>
      <w:r w:rsidR="00B77044" w:rsidRPr="00B77044">
        <w:rPr>
          <w:rFonts w:ascii="Times New Roman" w:hAnsi="Times New Roman"/>
          <w:sz w:val="24"/>
          <w:szCs w:val="24"/>
        </w:rPr>
        <w:t xml:space="preserve">Governança </w:t>
      </w:r>
      <w:r w:rsidR="00B77044" w:rsidRPr="00B77044">
        <w:rPr>
          <w:rFonts w:ascii="Times New Roman" w:hAnsi="Times New Roman"/>
          <w:sz w:val="24"/>
          <w:szCs w:val="24"/>
        </w:rPr>
        <w:t>corporativa</w:t>
      </w:r>
      <w:r w:rsidR="00B77044">
        <w:rPr>
          <w:rFonts w:ascii="Times New Roman" w:hAnsi="Times New Roman"/>
          <w:sz w:val="24"/>
          <w:szCs w:val="24"/>
        </w:rPr>
        <w:t xml:space="preserve">, </w:t>
      </w:r>
      <w:r w:rsidR="00B77044" w:rsidRPr="00B77044">
        <w:rPr>
          <w:rFonts w:ascii="Times New Roman" w:hAnsi="Times New Roman"/>
          <w:sz w:val="24"/>
          <w:szCs w:val="24"/>
        </w:rPr>
        <w:t xml:space="preserve">Setor </w:t>
      </w:r>
      <w:r w:rsidR="00B77044" w:rsidRPr="00B77044">
        <w:rPr>
          <w:rFonts w:ascii="Times New Roman" w:hAnsi="Times New Roman"/>
          <w:sz w:val="24"/>
          <w:szCs w:val="24"/>
        </w:rPr>
        <w:t>bancário</w:t>
      </w:r>
      <w:r w:rsidR="00B77044">
        <w:rPr>
          <w:rFonts w:ascii="Times New Roman" w:hAnsi="Times New Roman"/>
          <w:sz w:val="24"/>
          <w:szCs w:val="24"/>
        </w:rPr>
        <w:t xml:space="preserve">, </w:t>
      </w:r>
      <w:r w:rsidR="00B77044" w:rsidRPr="00B77044">
        <w:rPr>
          <w:rFonts w:ascii="Times New Roman" w:hAnsi="Times New Roman"/>
          <w:sz w:val="24"/>
          <w:szCs w:val="24"/>
        </w:rPr>
        <w:t>Desempenho</w:t>
      </w:r>
      <w:r w:rsidR="00B77044">
        <w:rPr>
          <w:rFonts w:ascii="Times New Roman" w:hAnsi="Times New Roman"/>
          <w:sz w:val="24"/>
          <w:szCs w:val="24"/>
        </w:rPr>
        <w:t xml:space="preserve">, </w:t>
      </w:r>
      <w:r w:rsidR="00B77044" w:rsidRPr="00B77044">
        <w:rPr>
          <w:rFonts w:ascii="Times New Roman" w:hAnsi="Times New Roman"/>
          <w:sz w:val="24"/>
          <w:szCs w:val="24"/>
        </w:rPr>
        <w:t>Risco</w:t>
      </w:r>
      <w:r w:rsidR="00B77044">
        <w:rPr>
          <w:rFonts w:ascii="Times New Roman" w:hAnsi="Times New Roman"/>
          <w:sz w:val="24"/>
          <w:szCs w:val="24"/>
        </w:rPr>
        <w:t>.</w:t>
      </w:r>
    </w:p>
    <w:p w14:paraId="6EE2CA4D" w14:textId="77777777" w:rsidR="00A760FA" w:rsidRPr="00A760FA" w:rsidRDefault="00A760FA" w:rsidP="00A760FA">
      <w:pPr>
        <w:spacing w:after="0" w:line="360" w:lineRule="auto"/>
        <w:ind w:firstLine="709"/>
        <w:jc w:val="both"/>
        <w:rPr>
          <w:rFonts w:ascii="Times New Roman" w:hAnsi="Times New Roman"/>
          <w:sz w:val="24"/>
          <w:szCs w:val="24"/>
        </w:rPr>
      </w:pPr>
    </w:p>
    <w:p w14:paraId="0D77F10C" w14:textId="77777777" w:rsidR="00A760FA" w:rsidRPr="00A760FA" w:rsidRDefault="00A760FA" w:rsidP="00A760FA">
      <w:pPr>
        <w:spacing w:after="0" w:line="360" w:lineRule="auto"/>
        <w:ind w:firstLine="709"/>
        <w:jc w:val="both"/>
        <w:rPr>
          <w:rFonts w:ascii="Times New Roman" w:hAnsi="Times New Roman"/>
          <w:sz w:val="24"/>
          <w:szCs w:val="24"/>
        </w:rPr>
      </w:pPr>
    </w:p>
    <w:p w14:paraId="08CE181A" w14:textId="6DCC33D7" w:rsidR="00A760FA" w:rsidRPr="00423453" w:rsidRDefault="00A760FA" w:rsidP="00A760FA">
      <w:pPr>
        <w:spacing w:after="0" w:line="360" w:lineRule="auto"/>
        <w:jc w:val="both"/>
        <w:rPr>
          <w:rFonts w:ascii="Times New Roman" w:hAnsi="Times New Roman"/>
          <w:b/>
          <w:color w:val="AF0FCB"/>
          <w:sz w:val="24"/>
          <w:szCs w:val="24"/>
        </w:rPr>
      </w:pPr>
      <w:r w:rsidRPr="00423453">
        <w:rPr>
          <w:rFonts w:ascii="Times New Roman" w:hAnsi="Times New Roman"/>
          <w:b/>
          <w:color w:val="AF0FCB"/>
          <w:sz w:val="24"/>
          <w:szCs w:val="24"/>
        </w:rPr>
        <w:t>1 INTRODUÇÃO</w:t>
      </w:r>
    </w:p>
    <w:p w14:paraId="756E2463"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Em 1776, Adam Smith, na obra a Riqueza das Nações e a Natureza das Suas Causas, pode ter dado início a introdução do que vem a ser chamado de Governança Corporativa, pois, em sua obra, o autor traz definições do termo “divisão do trabalho” determinando que com tal forma é possível se obter melhores rendimentos do trabalho, pois, com a divisão se tem mais especialização e assim um aumento da produtividade, suportam essa afirmação Ribeiro; Souza, (2022); Simões; Souza, (2020); Corso; Eckert; Pompermayer, ( 2020) . Dessa forma, é observável a derivação da profissionalização da gestão como resultado da divisão (ECKERT, et al., 2023; LUCIANI, et al., 2021). </w:t>
      </w:r>
    </w:p>
    <w:p w14:paraId="1D76EBD1"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No entanto, com a divisão do trabalho se tem mais agentes econômicos que tem interesses específicos, concentrados em suas próprias áreas (TRES; MAZZIONI; MAGRO, 2022; LUCIANI, 2021). Para Berle e Means (1932), se tem uma divergência de interesses entre a propriedade e o controle de determinado ativo ou bens, dessa forma, os autores descrevem que aos discutir os problemas das empresas, se tem a possibilidade de distinguir três funções, sendo estas de se ter um interesse numa companhia, a de se ter poder sobre ela e a de agir nela. Assim, um único indivíduo pode preencher uma ou mais dessas funções (FREITAS; FONTES FILHO, 2018). </w:t>
      </w:r>
    </w:p>
    <w:p w14:paraId="76418285"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Partindo deste contexto, no ano de 1976, Jensen e Meckling introduz a teoria de agência, a qual se tem como premissa que os indivíduos têm um comportamento maximizador de utilidade econômica, sendo participantes de um mercado regido por contratos bilaterais entre agentes econômicos, sendo estes, pessoas físicas, empresas e o governo. Dessa forma, tais agentes tem seus próprios interesses, o que leva a um </w:t>
      </w:r>
      <w:r w:rsidRPr="009C0634">
        <w:rPr>
          <w:rFonts w:ascii="Times New Roman" w:hAnsi="Times New Roman"/>
          <w:sz w:val="24"/>
          <w:szCs w:val="24"/>
        </w:rPr>
        <w:lastRenderedPageBreak/>
        <w:t xml:space="preserve">problema. Conforme Freeman (2016), os stakeholders são estes terceiros, que são afetados ou afetam as ações políticas da empresa, tendo, dessa forma, uma relação de interdependência e ética e de negócios, sendo coordenados pelos interesses dos stakeholders (LUGOBONI, et al., 2021; VARGAS, L. A.; MAGRO; MAZZIONI, 2021; KUNIYOSHI; CARRILLO, 2021; LINS; BRUNO-FARIA, 2018). </w:t>
      </w:r>
    </w:p>
    <w:p w14:paraId="4A39211A"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No setor bancário, é possível observar essas relações de interesses bem definidas e, além disso, a economia de uma nação tende a funcionar bem quando esta é composta por uma estabilidade do sistema financeiro e econômico, sua base é composta pela sustentabilidade das instituições financeiras, dessa forma, assegurar a estabilidade e supervisiona-la é função do Banco Central do Brasil (BACEN), conforme Korontai; Fonseca, (2020); Streit; Faria, (2020); Freitas; Fontes Filho, (2018). Os interessados, ou seja, os stakeholders que participam dessa relação contratual no setor bancário tem suas diferenças se comparado com empresas não financeiras, pois, neste setor os agentes econômicos presentes são os depositantes, os órgãos reguladores e a sociedade interessada (LUGOBONI, et al., 2021; VARGAS, L. A.; MAGRO, C. B. D.; MAZZIONI, 2021; KUNIYOSHI; CARRILLO, 2021; LINS; BRUNO-FARIA, 2018; SRIVASTAV; HAGENDORFF, 2015), em contrapartida, empresas não financeiras tem como agentes, os gestores e os acionistas.</w:t>
      </w:r>
    </w:p>
    <w:p w14:paraId="0CB7B4CC" w14:textId="4E83EB48"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Para se obter a eficiência da intermediação de recursos dos bancos e para promover a estabilidade financeira, (KORONTAI; FONSECA, 2020; STREIT; FARIA, (2020); FREITAS; FONTES FILHO, 2018), o Sistema Financeiro Nacional sob regras do Conselho Monetário Nacional, do Banco Central e da Comissão de Valores Mobiliários operam conjuntamente a regulação do setor bancário (JÁCOME; PAIVA; MARTINS, 2020; ANTONELLI; PORTULHAK; SCHERER, 2018). Aplicando regulamentações de forma segmentada, convergente a dimensão da exposição de risco e a relevância que o banco representa para a economia do país. É destacado pelos Autore Jácome; Paiva; Martins, (2020); Antonelli; Portulhak; Scherer, (2018) e Srivastav e Hagendorff (2015) que a tomada de riscos indevida dos bancos tende a comprometer a segurança e o funcionamento das instituições financeiras, bem como a estabilidade do sistema financeiro quando uma instituição que está em dificuldade financeiras contagia outras instituições do sistema financeiro.</w:t>
      </w:r>
    </w:p>
    <w:p w14:paraId="7E9F9B1F"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Conforme Vaz, et al. (2022); Eckert; et al., (2022); Manchineri; Alves, (2022); Luciani, et al., (2021); KOPROWSKI, et al., (2021); SANTOS, et al., (2020); Vicente; Gasparetto, (2020); Carneiro (2008), as boas práticas de Governança Corporativa, conjuntamente com a produção e a disponibilização das informações contábeis de qualidade, tendem a ser reconhecidas como meios essenciais na redução da assimetria de informação. </w:t>
      </w:r>
    </w:p>
    <w:p w14:paraId="4C0EEA20"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No entanto, Marcassa (2000) aponta que a Governança Corporativa tende a ser apontada por alguns pesquisadores que suas práticas são a própria regulamentação do setor bancário, mas, em contraposição, há pesquisadores (JÁCOME; PAIVA; MARTINS, 2020; KORONTAI; FONSECA, 2020; STREIT; FARIA, </w:t>
      </w:r>
      <w:r w:rsidRPr="009C0634">
        <w:rPr>
          <w:rFonts w:ascii="Times New Roman" w:hAnsi="Times New Roman"/>
          <w:sz w:val="24"/>
          <w:szCs w:val="24"/>
        </w:rPr>
        <w:lastRenderedPageBreak/>
        <w:t xml:space="preserve">(2020); FREITAS; FONTES FILHO, 2018) que apontam que a supervisão e a regulamentação do setor, é fonte de complementaridade para a Governança Corporativa.  </w:t>
      </w:r>
    </w:p>
    <w:p w14:paraId="73389CD2"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Em vista disso, tem-se o seguinte problema de pesquisa: Quais critérios da Governança Corporativa, de alguma forma, influencia o desempenho e o risco das instituições financeiras brasileiras? Com a forma de operacionalizar o problema de pesquisa acima o objetivo principal da pesquisa consiste em analisar a Governança Corporativa e os agentes reguladores das instituições financeiras, desta forma, mensurar o desempenho e o risco associado ao setor bancário. Ainda  como forma de alcançar o objetivo principal, estabeleceu-se os objetivos específicos: (i) identificar se as instituições financeiras estão efetivamente realizando as operações conforme as recomendações regulatórias do setor bancário; (ii) Evidenciar com resultados em pesquisa em demonstrações contábeis e os conteúdos das informações públicas, em relação a divulgação, além de informações sobre o conselho administrativo e o conselho fiscal, a gestão de risco, compliance, auditorias e demais comitês, e conforme a relevância para o setor, as estruturas de propriedade e controle.  (iii) mensurar o nível da governança corporativa das instituições financeiras brasileiras e averiguar o efeito destas sobre variáveis de risco e desempenho dos bancos.  </w:t>
      </w:r>
    </w:p>
    <w:p w14:paraId="5DE52444" w14:textId="5508D298"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Partindo do pressuposto que as instituições que são reguladas têm uma maior diversidade de agentes econômicos interessados nos seus resultados e em suas informações públicas, comparados a setores não regulados, os quais não possuem órgãos que os regulam (SILVEIRA, et al., (2021); ZAFALON.; PADGETT.; YAHIRO, (2020). Desse modo, o estudo justifica-se na medida que busca contribuir com a ampliação nas análises da Governança Corporativa em um setor regulado pelo Banco Central do Brasil, mensurando se a Governança Corporativa é complementada com as recomendações regulatórias, ou se o regulatório é a própria Governança Corporativa (KORONTAI; FONSECA, 2020; STREIT; FARIA, (2020); FREITAS; MONTEIRO, 2019; GERMANO, 20219; FONTES FILHO, 2018). </w:t>
      </w:r>
    </w:p>
    <w:p w14:paraId="3AAD27D5"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Conforme Moraes (2023); Korontal e Fonseca (2019), estudos relevantes na área estão relacionados as instituições financeiras dos Estados Unidos da América (EUA), local onde se há maior transparência nas informações públicas do mercado se comparado com o Brasil, dessa forma, se tem uma análise mais precisa da presença da Governança Corporativa no setor bancário americano do que o relacionado as informações brasileiras. Assim como outros setores de outros países de acordo com Arantes, et al., (2020); Soschinski, et al., (2020); Santos, et al., (2020).</w:t>
      </w:r>
    </w:p>
    <w:p w14:paraId="1FDDFC22"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Dessa forma, se justifica analisar as instituições financeiras brasileiras e como elas operam e evidenciam suas informações, ou seja, seu nível de disclosure, para que com base nisso, tem-se uma análise em relação a Governança Corporativa e sua relação com o desemprenho e risco do setor bancário no Brasil (SILVA, et al., 2022; LOPES; CORREIA, 2021).</w:t>
      </w:r>
      <w:r w:rsidRPr="009C0634">
        <w:rPr>
          <w:rFonts w:ascii="Times New Roman" w:hAnsi="Times New Roman"/>
          <w:sz w:val="24"/>
          <w:szCs w:val="24"/>
        </w:rPr>
        <w:tab/>
      </w:r>
    </w:p>
    <w:p w14:paraId="55F66C52" w14:textId="77777777" w:rsidR="009C0634" w:rsidRDefault="009C0634" w:rsidP="009C0634">
      <w:pPr>
        <w:pStyle w:val="SemEspaamento"/>
        <w:spacing w:line="360" w:lineRule="auto"/>
        <w:jc w:val="both"/>
        <w:rPr>
          <w:rFonts w:ascii="Times New Roman" w:hAnsi="Times New Roman" w:cs="Times New Roman"/>
          <w:b/>
          <w:bCs/>
          <w:sz w:val="24"/>
          <w:szCs w:val="24"/>
        </w:rPr>
      </w:pPr>
    </w:p>
    <w:p w14:paraId="32DCC50D" w14:textId="77777777" w:rsidR="009C0634" w:rsidRDefault="009C0634" w:rsidP="009C0634">
      <w:pPr>
        <w:pStyle w:val="SemEspaamento"/>
        <w:spacing w:line="360" w:lineRule="auto"/>
        <w:jc w:val="both"/>
        <w:rPr>
          <w:rFonts w:ascii="Times New Roman" w:hAnsi="Times New Roman" w:cs="Times New Roman"/>
          <w:b/>
          <w:bCs/>
          <w:sz w:val="24"/>
          <w:szCs w:val="24"/>
        </w:rPr>
      </w:pPr>
    </w:p>
    <w:p w14:paraId="221E7174" w14:textId="09BA6D2D" w:rsidR="009C0634" w:rsidRPr="009C0634" w:rsidRDefault="009C0634" w:rsidP="009C0634">
      <w:pPr>
        <w:pStyle w:val="SemEspaamento"/>
        <w:spacing w:line="360" w:lineRule="auto"/>
        <w:jc w:val="both"/>
        <w:rPr>
          <w:rFonts w:ascii="Times New Roman" w:hAnsi="Times New Roman" w:cs="Times New Roman"/>
          <w:b/>
          <w:bCs/>
          <w:color w:val="AF0FCB"/>
          <w:sz w:val="24"/>
          <w:szCs w:val="24"/>
        </w:rPr>
      </w:pPr>
      <w:r w:rsidRPr="009C0634">
        <w:rPr>
          <w:rFonts w:ascii="Times New Roman" w:hAnsi="Times New Roman" w:cs="Times New Roman"/>
          <w:b/>
          <w:bCs/>
          <w:color w:val="AF0FCB"/>
          <w:sz w:val="24"/>
          <w:szCs w:val="24"/>
        </w:rPr>
        <w:lastRenderedPageBreak/>
        <w:t xml:space="preserve">2 </w:t>
      </w:r>
      <w:r w:rsidRPr="009C0634">
        <w:rPr>
          <w:rFonts w:ascii="Times New Roman" w:hAnsi="Times New Roman" w:cs="Times New Roman"/>
          <w:b/>
          <w:bCs/>
          <w:color w:val="AF0FCB"/>
          <w:sz w:val="24"/>
          <w:szCs w:val="24"/>
        </w:rPr>
        <w:t>OBJETIVO</w:t>
      </w:r>
    </w:p>
    <w:p w14:paraId="04F34576"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Analisar a Governança Corporativa e os agentes reguladores das instituições financeiras, desta forma, mensurar o desempenho e o risco associado ao setor bancário </w:t>
      </w:r>
    </w:p>
    <w:p w14:paraId="259A8676" w14:textId="77777777" w:rsidR="009C0634" w:rsidRDefault="009C0634" w:rsidP="009C0634">
      <w:pPr>
        <w:pStyle w:val="SemEspaamento"/>
        <w:spacing w:line="360" w:lineRule="auto"/>
        <w:jc w:val="both"/>
        <w:rPr>
          <w:rFonts w:ascii="Times New Roman" w:hAnsi="Times New Roman" w:cs="Times New Roman"/>
          <w:b/>
          <w:bCs/>
          <w:sz w:val="24"/>
          <w:szCs w:val="24"/>
        </w:rPr>
      </w:pPr>
    </w:p>
    <w:p w14:paraId="03BC7CF0" w14:textId="12A7EFD1" w:rsidR="009C0634" w:rsidRPr="009C0634" w:rsidRDefault="009C0634" w:rsidP="009C0634">
      <w:pPr>
        <w:pStyle w:val="SemEspaamento"/>
        <w:spacing w:line="360" w:lineRule="auto"/>
        <w:jc w:val="both"/>
        <w:rPr>
          <w:rFonts w:ascii="Times New Roman" w:hAnsi="Times New Roman" w:cs="Times New Roman"/>
          <w:b/>
          <w:bCs/>
          <w:color w:val="AF0FCB"/>
          <w:sz w:val="24"/>
          <w:szCs w:val="24"/>
        </w:rPr>
      </w:pPr>
      <w:r w:rsidRPr="009C0634">
        <w:rPr>
          <w:rFonts w:ascii="Times New Roman" w:hAnsi="Times New Roman" w:cs="Times New Roman"/>
          <w:b/>
          <w:bCs/>
          <w:color w:val="AF0FCB"/>
          <w:sz w:val="24"/>
          <w:szCs w:val="24"/>
        </w:rPr>
        <w:t xml:space="preserve">3 </w:t>
      </w:r>
      <w:r w:rsidRPr="009C0634">
        <w:rPr>
          <w:rFonts w:ascii="Times New Roman" w:hAnsi="Times New Roman" w:cs="Times New Roman"/>
          <w:b/>
          <w:bCs/>
          <w:color w:val="AF0FCB"/>
          <w:sz w:val="24"/>
          <w:szCs w:val="24"/>
        </w:rPr>
        <w:t>REFERENCIAL TEÓRICO</w:t>
      </w:r>
    </w:p>
    <w:p w14:paraId="7111B816" w14:textId="42CFBDDA" w:rsidR="009C0634" w:rsidRPr="009C0634" w:rsidRDefault="009C0634" w:rsidP="009C0634">
      <w:pPr>
        <w:pStyle w:val="Ttulo2"/>
        <w:spacing w:before="0" w:line="360" w:lineRule="auto"/>
        <w:jc w:val="both"/>
        <w:rPr>
          <w:rFonts w:ascii="Times New Roman" w:eastAsiaTheme="minorHAnsi" w:hAnsi="Times New Roman" w:cs="Times New Roman"/>
          <w:caps/>
          <w:color w:val="AF0FCB"/>
          <w:sz w:val="24"/>
          <w:szCs w:val="24"/>
        </w:rPr>
      </w:pPr>
      <w:r w:rsidRPr="009C0634">
        <w:rPr>
          <w:rFonts w:ascii="Times New Roman" w:eastAsiaTheme="minorHAnsi" w:hAnsi="Times New Roman" w:cs="Times New Roman"/>
          <w:color w:val="AF0FCB"/>
          <w:sz w:val="24"/>
          <w:szCs w:val="24"/>
        </w:rPr>
        <w:t xml:space="preserve">3.1 </w:t>
      </w:r>
      <w:r w:rsidRPr="009C0634">
        <w:rPr>
          <w:rFonts w:ascii="Times New Roman" w:eastAsiaTheme="minorHAnsi" w:hAnsi="Times New Roman" w:cs="Times New Roman"/>
          <w:color w:val="AF0FCB"/>
          <w:sz w:val="24"/>
          <w:szCs w:val="24"/>
        </w:rPr>
        <w:t>GOVERNANÇA CORPORATIVA</w:t>
      </w:r>
    </w:p>
    <w:p w14:paraId="4FD006F9"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Conforme Pierre e Peter (2000), Rhodes (1997) e Cepiku (2005), o termo “Governança” é definido por ações de poderes formais e informais, tendo como objetivo o consenso das escolhas públicas em um contexto sociopolítico, as ações formais em muitos casos sendo de forma regulada pelo Estado ou por meio de Normas Internacionais, os quais tem-se melhores práticas de divulgação de relatórios ou meios de tomada de decisão. O termo governança é descrito por Couto (2018), como uma oposição ao termo “Governo”, pois, de acordo com Meneguzzo (1995), o governo tem como forma de poder um sistema institucional apenas formal, o qual delibera ações públicas, tendendo à melhores práticas e decisões para a sociedade.</w:t>
      </w:r>
    </w:p>
    <w:p w14:paraId="7AA85658"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Berle e Means (1932) iniciam uma constatação que vem a ser muito importante para a governança corporativa posteriormente, eles descrevem sobre a divergência entre o interesse dos controladores (stakeholders) e dos acionistas (shareholders), essa divergência ocorre, pois os stakeholders possuem maior acesso as informações e poder de decisão sobre o capital, dessa forma, para minimizar esse problema, é introduzido controles e mecanismos que resultam no chamado “Custo de Agência” (Jensen e Meckling, 1976).</w:t>
      </w:r>
    </w:p>
    <w:p w14:paraId="270570A5"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Além disso, é possível distinguir dois modelos clássicos de governança corporativa em relação aos países, sendo o modelo anglo-saxão vigente em países como os Estados Unidos da América e o Reino Unido, e o modelo nipo-germânico. Observa-se que o modelo anglo-saxão tem como objetivo principal as práticas de governança corporativa que permite melhor alcançar o aumento de valor na atividade empresarial (LETHBRIDGE, 1997. p. 211). O modelo anglo-saxão tem se uma estrutura de controle externo que tem como objetivo a criação de valor voltada para os acionistas, ou seja, os shareholders (VICTÓRIA, 2007), além de possuir participações acionárias relativamente mais pulverizadas, garantindo alta liquidez (LETHBRIDGE, 1997. p. 212). Em contrapartida, o modelo nipo-germânico, tem-se propriedades mais concentradas em uma pequena parte de acionistas e eles conseguem reduzir seu risco obtendo informações necessárias juntamente com a administração (LETHBRIDGE, 1997. p. 212).</w:t>
      </w:r>
    </w:p>
    <w:p w14:paraId="16BF3B64"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Para Nerantzidis e Tsamis (2017), a governança de alta qualidade tem vínculo com uma ampliação da divulgação voluntária por parte das empresas, sendo esta divulgação realizada por meio de relatórios anuais de suas práticas, destacando pontos principais das tomadas de decisão. </w:t>
      </w:r>
    </w:p>
    <w:p w14:paraId="41562FD0" w14:textId="40D7CA38" w:rsidR="009C0634" w:rsidRPr="009C0634" w:rsidRDefault="009C0634" w:rsidP="009C0634">
      <w:pPr>
        <w:pStyle w:val="Ttulo2"/>
        <w:spacing w:before="0" w:line="360" w:lineRule="auto"/>
        <w:jc w:val="both"/>
        <w:rPr>
          <w:rFonts w:ascii="Times New Roman" w:hAnsi="Times New Roman" w:cs="Times New Roman"/>
          <w:b/>
          <w:bCs/>
          <w:color w:val="AF0FCB"/>
          <w:sz w:val="24"/>
          <w:szCs w:val="24"/>
        </w:rPr>
      </w:pPr>
      <w:r w:rsidRPr="009C0634">
        <w:rPr>
          <w:rFonts w:ascii="Times New Roman" w:hAnsi="Times New Roman" w:cs="Times New Roman"/>
          <w:b/>
          <w:bCs/>
          <w:color w:val="AF0FCB"/>
          <w:sz w:val="24"/>
          <w:szCs w:val="24"/>
        </w:rPr>
        <w:lastRenderedPageBreak/>
        <w:t xml:space="preserve">3.1.1 </w:t>
      </w:r>
      <w:r w:rsidRPr="009C0634">
        <w:rPr>
          <w:rFonts w:ascii="Times New Roman" w:hAnsi="Times New Roman" w:cs="Times New Roman"/>
          <w:b/>
          <w:bCs/>
          <w:color w:val="AF0FCB"/>
          <w:sz w:val="24"/>
          <w:szCs w:val="24"/>
        </w:rPr>
        <w:t>Governança Corporativa Bancária</w:t>
      </w:r>
    </w:p>
    <w:p w14:paraId="22751927"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Conforme o Instituto Brasileiro de Governança Corporativa (2023), é possível observar que, a estrutura de governança corporativa caracteriza-se sobre um conjunto de agentes, órgãos e relações entre eles, dessa forma, não são todas as organizações que apresentam uma estrutura completa de governança corporativa, pois, isso dependerá do estágio de maturidade da organização, seu porte, sua natureza de atuação, além do seu arcabouço regulatório.</w:t>
      </w:r>
    </w:p>
    <w:p w14:paraId="0152B7CD"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Assim, em um contexto mais restrito, como no setor bancário, a governança corporativa é descrita como as próprias normas que as regulam, conforme argumenta autores como Costa, Fama e Santos (2007), descrevendo que a Governança Corporativa não vem a trazer impactos diferenciados no setor, pois se tem forte regulamentação, dessa forma, convergindo a transparência suficiente para a tomada de decisão.</w:t>
      </w:r>
    </w:p>
    <w:p w14:paraId="5D61E3A6"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O autor Coimbra (2011), aponta que em instituições financeiras, os gestores devem não somente responder aos seus próprios propósitos, mas devem o fazer consonante ao interesse público descrito pelos regulamentos, dessa forma, para manter assegurado o interesse público, a regulação se relaciona como uma forma externa de governança sobre seus administradores.</w:t>
      </w:r>
    </w:p>
    <w:p w14:paraId="0F674FA5"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À vista disso, o referencial que se tem sobre a análise de desempenho e risco é com base a intervenção regulatória do Sistema Financeiro Nacional, que estimula a divulgação de determinadas variáveis para mensuração se a governança corporativa está convergindo como necessário para o bom funcionamento do sistema.</w:t>
      </w:r>
    </w:p>
    <w:p w14:paraId="34694BC7" w14:textId="77777777" w:rsidR="009C0634" w:rsidRDefault="009C0634" w:rsidP="009C0634">
      <w:pPr>
        <w:pStyle w:val="Ttulo2"/>
        <w:spacing w:before="0" w:line="360" w:lineRule="auto"/>
        <w:jc w:val="both"/>
        <w:rPr>
          <w:rFonts w:ascii="Times New Roman" w:hAnsi="Times New Roman" w:cs="Times New Roman"/>
          <w:sz w:val="24"/>
          <w:szCs w:val="24"/>
        </w:rPr>
      </w:pPr>
    </w:p>
    <w:p w14:paraId="096720F2" w14:textId="43ED566C" w:rsidR="009C0634" w:rsidRPr="009C0634" w:rsidRDefault="009C0634" w:rsidP="009C0634">
      <w:pPr>
        <w:pStyle w:val="Ttulo2"/>
        <w:spacing w:before="0" w:line="360" w:lineRule="auto"/>
        <w:jc w:val="both"/>
        <w:rPr>
          <w:rFonts w:ascii="Times New Roman" w:hAnsi="Times New Roman" w:cs="Times New Roman"/>
          <w:b/>
          <w:bCs/>
          <w:color w:val="AF0FCB"/>
          <w:sz w:val="24"/>
          <w:szCs w:val="24"/>
        </w:rPr>
      </w:pPr>
      <w:r w:rsidRPr="009C0634">
        <w:rPr>
          <w:rFonts w:ascii="Times New Roman" w:hAnsi="Times New Roman" w:cs="Times New Roman"/>
          <w:b/>
          <w:bCs/>
          <w:color w:val="AF0FCB"/>
          <w:sz w:val="24"/>
          <w:szCs w:val="24"/>
        </w:rPr>
        <w:t xml:space="preserve">3.1.2 </w:t>
      </w:r>
      <w:r w:rsidRPr="009C0634">
        <w:rPr>
          <w:rFonts w:ascii="Times New Roman" w:hAnsi="Times New Roman" w:cs="Times New Roman"/>
          <w:b/>
          <w:bCs/>
          <w:color w:val="AF0FCB"/>
          <w:sz w:val="24"/>
          <w:szCs w:val="24"/>
        </w:rPr>
        <w:t>Regulação no Setor Bancário</w:t>
      </w:r>
    </w:p>
    <w:p w14:paraId="546799A3"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De acordo com Korontai e Fonseca (2019), em função das crises de liquidez no sistema bancário e, dessa forma, dos riscos sistêmicos, se teve a evolução da supervisão bancária. Em consequência disso, foi ponto importante para a motivação do Brasil a adesão aos acordos de Basileia na década de 90. Além disso, os autores argumentam que tais acordos tem como objetivo prover segurança e solidez as instituições financeiras, aos seus clientes e, por fim, à economia mundial.</w:t>
      </w:r>
    </w:p>
    <w:p w14:paraId="257DE51F"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Sob uma análise internacional (JOHN; DE MASI; e PASI, 2016), a Governança Corporativa em Bancos tem sua regulação visando atender objetivos sociais, além de proteger os depositantes, auxiliando na manutenção de solidez do sistema financeiro. Para Banzas (2005), a principal preocupação que conduz a as ações de regulação no setor bancário é a existência do risco sistêmico no setor financeiro e na economia como um todo.</w:t>
      </w:r>
    </w:p>
    <w:p w14:paraId="5879906B" w14:textId="77777777" w:rsidR="009C0634" w:rsidRDefault="009C0634" w:rsidP="009C0634">
      <w:pPr>
        <w:pStyle w:val="Ttulo1"/>
        <w:spacing w:before="0" w:line="360" w:lineRule="auto"/>
        <w:jc w:val="both"/>
        <w:rPr>
          <w:rFonts w:ascii="Times New Roman" w:hAnsi="Times New Roman" w:cs="Times New Roman"/>
          <w:sz w:val="24"/>
          <w:szCs w:val="24"/>
        </w:rPr>
      </w:pPr>
    </w:p>
    <w:p w14:paraId="69CBA71B" w14:textId="68A5F73D" w:rsidR="009C0634" w:rsidRPr="009C0634" w:rsidRDefault="009C0634" w:rsidP="009C0634">
      <w:pPr>
        <w:pStyle w:val="Ttulo1"/>
        <w:spacing w:before="0" w:line="360" w:lineRule="auto"/>
        <w:jc w:val="both"/>
        <w:rPr>
          <w:rFonts w:ascii="Times New Roman" w:hAnsi="Times New Roman" w:cs="Times New Roman"/>
          <w:b/>
          <w:bCs/>
          <w:color w:val="AF0FCB"/>
          <w:sz w:val="24"/>
          <w:szCs w:val="24"/>
        </w:rPr>
      </w:pPr>
      <w:r w:rsidRPr="009C0634">
        <w:rPr>
          <w:rFonts w:ascii="Times New Roman" w:hAnsi="Times New Roman" w:cs="Times New Roman"/>
          <w:b/>
          <w:bCs/>
          <w:color w:val="AF0FCB"/>
          <w:sz w:val="24"/>
          <w:szCs w:val="24"/>
        </w:rPr>
        <w:t xml:space="preserve">4 </w:t>
      </w:r>
      <w:r w:rsidRPr="009C0634">
        <w:rPr>
          <w:rFonts w:ascii="Times New Roman" w:hAnsi="Times New Roman" w:cs="Times New Roman"/>
          <w:b/>
          <w:bCs/>
          <w:color w:val="AF0FCB"/>
          <w:sz w:val="24"/>
          <w:szCs w:val="24"/>
        </w:rPr>
        <w:t>METODOLOGIA</w:t>
      </w:r>
    </w:p>
    <w:p w14:paraId="44D6B6A3"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Para se obter os resultados apresentados nos objetivos, os procedimentos adotados nesta pesquisa são de caráter qualitativo e caracteriza-se como uma pesquisa descritiva, pois por meio de informações públicas e qualitativas, buscar obter dados para análises. </w:t>
      </w:r>
    </w:p>
    <w:p w14:paraId="7C296068" w14:textId="77777777"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O total de instituições financeiras autorizadas a funcionar pelo BACEN em 2022 foi de 1331. Deste total, foi realizado um procedimento para se obter amostras não probabilística sendo composto por 4 instituições financeiras elencadas no Top 50 BACEN de 12/2022 e ordenadas de acordo com o lucro líquido, cuja soma representa 92% do total do Sistema Financeiro Nacional neste ano.</w:t>
      </w:r>
    </w:p>
    <w:p w14:paraId="5A6463C6" w14:textId="4CDA8B68"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Na pesquisa, para se obter as instituições financeiras com o melhor desempenho financeiro, optou se por analisar a amostra os bancos que obtiveram melhores resultados de lucro, pois, o tamanho do ativo ou do passivo e Patrimônio Líquido não seria um bom indicador para medir o desempenho das instituições financeiras. Dessa forma, a amostram contém 4 bancos.</w:t>
      </w:r>
    </w:p>
    <w:p w14:paraId="585495A5" w14:textId="5378657F"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A realização da coleta de dados se deu por meio das informações publicadas dos bancos analisados nos anos de 2015 a 2022, além de dados disponibilizados nos sites do BACEN e da BM&amp;BOVESPA. O período da pesquisa foi delimitado a partir de uma atualização de uma pesquisa anterior, dessa forma, essa pesquisa busca trazer uma atualização dos dados de uma pesquisa realizada anteriormente nos anos de 2010 a 2014.</w:t>
      </w:r>
    </w:p>
    <w:p w14:paraId="14B2BE35" w14:textId="77777777" w:rsidR="009C0634" w:rsidRDefault="009C0634" w:rsidP="009C0634">
      <w:pPr>
        <w:pStyle w:val="Ttulo2"/>
        <w:spacing w:before="0" w:line="360" w:lineRule="auto"/>
        <w:jc w:val="both"/>
        <w:rPr>
          <w:rFonts w:ascii="Times New Roman" w:hAnsi="Times New Roman" w:cs="Times New Roman"/>
          <w:sz w:val="24"/>
          <w:szCs w:val="24"/>
        </w:rPr>
      </w:pPr>
    </w:p>
    <w:p w14:paraId="3FFDB84D" w14:textId="659B9B1F" w:rsidR="009C0634" w:rsidRPr="009C0634" w:rsidRDefault="009C0634" w:rsidP="009C0634">
      <w:pPr>
        <w:pStyle w:val="Ttulo2"/>
        <w:spacing w:before="0" w:line="360" w:lineRule="auto"/>
        <w:jc w:val="both"/>
        <w:rPr>
          <w:rFonts w:ascii="Times New Roman" w:hAnsi="Times New Roman" w:cs="Times New Roman"/>
          <w:color w:val="AF0FCB"/>
          <w:sz w:val="24"/>
          <w:szCs w:val="24"/>
        </w:rPr>
      </w:pPr>
      <w:r w:rsidRPr="009C0634">
        <w:rPr>
          <w:rFonts w:ascii="Times New Roman" w:hAnsi="Times New Roman" w:cs="Times New Roman"/>
          <w:color w:val="AF0FCB"/>
          <w:sz w:val="24"/>
          <w:szCs w:val="24"/>
        </w:rPr>
        <w:t>4.1 DEFINIÇÃO DAS VARIÁVEIS</w:t>
      </w:r>
    </w:p>
    <w:p w14:paraId="03944841" w14:textId="45DEA573" w:rsidR="009C0634" w:rsidRP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Conforme o Código das Melhores Práticas de Governança Corporativa elaborada pelo Instituto Brasileiro de Governança Corporativa (IBGC, 2023), a Governança Corporativa é um sistema formado por princípios, regras, estruturas e processos pelo qual as organizações são dirigidas e monitoradas, com vistas à geração de valor sustentável para a organização, para seus sócios e para a sociedade em geral.</w:t>
      </w:r>
    </w:p>
    <w:p w14:paraId="6AA496C4" w14:textId="097DFBFB" w:rsidR="009C0634" w:rsidRDefault="009C0634" w:rsidP="009C063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No entanto, não se tem métricas exatas para medir a Governança Corporativa, dessa forma, conforme a literatura de Leal (2004), Silveira (2001), Almeida (2010), e seguindo o marco regulatório do Banco Central do Brasil, do Instituto Brasileiro de Governança Corporativa, da Comissão de Valores Mobiliários e da Associação Brasileira de Bancos, com questões próprias do autores Korontai e Fonseca (2019) utilizando dessas informações,  foi elaborado um checklist com 29 perguntas binárias e objetivas, da qual as respostas são obtidas por meio da extração de dados secundários disponibilizados pelas instituições financeiras, sendo estes dados, os Relatórios da Administração, as Notas Explicativas e os Relatórios de Gerenciamento de Risco. Seguindo dessa forma o seguinte critério de respostas: 1 para a instituição financeira que possui a informação em algum dos relatórios citados; 0 para aquela que não possui a informação em pelo menos um dos relatórios. Sendo assim, o valor total do Indice será a soma das respostas </w:t>
      </w:r>
      <w:r w:rsidRPr="009C0634">
        <w:rPr>
          <w:rFonts w:ascii="Times New Roman" w:hAnsi="Times New Roman"/>
          <w:sz w:val="24"/>
          <w:szCs w:val="24"/>
        </w:rPr>
        <w:lastRenderedPageBreak/>
        <w:t xml:space="preserve">para cada ano de análise, podendo resultar de 0 a 29 pontos. Esse checklist foi intitulado pelos autores Korontai e Fonseca (2019) de IGOV-Bancos. </w:t>
      </w:r>
    </w:p>
    <w:p w14:paraId="2F7DA875" w14:textId="77777777" w:rsidR="009C0634" w:rsidRDefault="009C0634" w:rsidP="009C0634">
      <w:pPr>
        <w:spacing w:after="0" w:line="360" w:lineRule="auto"/>
        <w:jc w:val="both"/>
        <w:rPr>
          <w:rFonts w:ascii="Times New Roman" w:hAnsi="Times New Roman"/>
          <w:sz w:val="24"/>
          <w:szCs w:val="24"/>
        </w:rPr>
      </w:pPr>
    </w:p>
    <w:p w14:paraId="2A7FC203" w14:textId="5D12CF76" w:rsidR="009C0634" w:rsidRPr="009C0634" w:rsidRDefault="009C0634" w:rsidP="009C0634">
      <w:pPr>
        <w:pStyle w:val="SemEspaamento"/>
        <w:jc w:val="center"/>
        <w:rPr>
          <w:rFonts w:ascii="Times New Roman" w:hAnsi="Times New Roman" w:cs="Times New Roman"/>
          <w:sz w:val="20"/>
          <w:szCs w:val="20"/>
        </w:rPr>
      </w:pPr>
      <w:bookmarkStart w:id="1" w:name="_Ref145596399"/>
      <w:bookmarkStart w:id="2" w:name="_Ref145596401"/>
      <w:r w:rsidRPr="009C0634">
        <w:rPr>
          <w:rFonts w:ascii="Times New Roman" w:hAnsi="Times New Roman" w:cs="Times New Roman"/>
          <w:sz w:val="20"/>
          <w:szCs w:val="20"/>
        </w:rPr>
        <w:t xml:space="preserve">Quadro </w:t>
      </w:r>
      <w:r w:rsidRPr="009C0634">
        <w:rPr>
          <w:rFonts w:ascii="Times New Roman" w:hAnsi="Times New Roman" w:cs="Times New Roman"/>
          <w:sz w:val="20"/>
          <w:szCs w:val="20"/>
        </w:rPr>
        <w:fldChar w:fldCharType="begin"/>
      </w:r>
      <w:r w:rsidRPr="009C0634">
        <w:rPr>
          <w:rFonts w:ascii="Times New Roman" w:hAnsi="Times New Roman" w:cs="Times New Roman"/>
          <w:sz w:val="20"/>
          <w:szCs w:val="20"/>
        </w:rPr>
        <w:instrText xml:space="preserve"> SEQ Quadro \* ARABIC </w:instrText>
      </w:r>
      <w:r w:rsidRPr="009C0634">
        <w:rPr>
          <w:rFonts w:ascii="Times New Roman" w:hAnsi="Times New Roman" w:cs="Times New Roman"/>
          <w:sz w:val="20"/>
          <w:szCs w:val="20"/>
        </w:rPr>
        <w:fldChar w:fldCharType="separate"/>
      </w:r>
      <w:r w:rsidR="007F2CCB">
        <w:rPr>
          <w:rFonts w:ascii="Times New Roman" w:hAnsi="Times New Roman" w:cs="Times New Roman"/>
          <w:noProof/>
          <w:sz w:val="20"/>
          <w:szCs w:val="20"/>
        </w:rPr>
        <w:t>1</w:t>
      </w:r>
      <w:r w:rsidRPr="009C0634">
        <w:rPr>
          <w:rFonts w:ascii="Times New Roman" w:hAnsi="Times New Roman" w:cs="Times New Roman"/>
          <w:noProof/>
          <w:sz w:val="20"/>
          <w:szCs w:val="20"/>
        </w:rPr>
        <w:fldChar w:fldCharType="end"/>
      </w:r>
      <w:bookmarkEnd w:id="1"/>
      <w:r w:rsidRPr="009C0634">
        <w:rPr>
          <w:rFonts w:ascii="Times New Roman" w:hAnsi="Times New Roman" w:cs="Times New Roman"/>
          <w:sz w:val="20"/>
          <w:szCs w:val="20"/>
        </w:rPr>
        <w:t>: Checklist para calcular IGOV-Bancos</w:t>
      </w:r>
      <w:bookmarkEnd w:id="2"/>
    </w:p>
    <w:tbl>
      <w:tblPr>
        <w:tblW w:w="10261" w:type="dxa"/>
        <w:tblCellMar>
          <w:left w:w="70" w:type="dxa"/>
          <w:right w:w="70" w:type="dxa"/>
        </w:tblCellMar>
        <w:tblLook w:val="04A0" w:firstRow="1" w:lastRow="0" w:firstColumn="1" w:lastColumn="0" w:noHBand="0" w:noVBand="1"/>
      </w:tblPr>
      <w:tblGrid>
        <w:gridCol w:w="10261"/>
      </w:tblGrid>
      <w:tr w:rsidR="009C0634" w:rsidRPr="009C0634" w14:paraId="025A4298" w14:textId="77777777" w:rsidTr="009C0634">
        <w:trPr>
          <w:trHeight w:val="300"/>
        </w:trPr>
        <w:tc>
          <w:tcPr>
            <w:tcW w:w="10261" w:type="dxa"/>
            <w:tcBorders>
              <w:top w:val="nil"/>
              <w:left w:val="nil"/>
              <w:bottom w:val="nil"/>
              <w:right w:val="nil"/>
            </w:tcBorders>
            <w:shd w:val="clear" w:color="auto" w:fill="auto"/>
            <w:vAlign w:val="bottom"/>
          </w:tcPr>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445"/>
              <w:gridCol w:w="1017"/>
              <w:gridCol w:w="7261"/>
            </w:tblGrid>
            <w:tr w:rsidR="009C0634" w:rsidRPr="009C0634" w14:paraId="71951037" w14:textId="77777777" w:rsidTr="009C0634">
              <w:trPr>
                <w:trHeight w:val="312"/>
                <w:jc w:val="center"/>
              </w:trPr>
              <w:tc>
                <w:tcPr>
                  <w:tcW w:w="10131" w:type="dxa"/>
                  <w:gridSpan w:val="4"/>
                  <w:shd w:val="clear" w:color="auto" w:fill="auto"/>
                  <w:vAlign w:val="bottom"/>
                  <w:hideMark/>
                </w:tcPr>
                <w:p w14:paraId="4D0FC8B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Checklist para calcular IGOV-Bancos</w:t>
                  </w:r>
                </w:p>
              </w:tc>
            </w:tr>
            <w:tr w:rsidR="009C0634" w:rsidRPr="009C0634" w14:paraId="1723B609" w14:textId="77777777" w:rsidTr="009C0634">
              <w:trPr>
                <w:trHeight w:val="312"/>
                <w:jc w:val="center"/>
              </w:trPr>
              <w:tc>
                <w:tcPr>
                  <w:tcW w:w="1408" w:type="dxa"/>
                  <w:shd w:val="clear" w:color="auto" w:fill="auto"/>
                  <w:vAlign w:val="bottom"/>
                  <w:hideMark/>
                </w:tcPr>
                <w:p w14:paraId="7E9BFD1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Categoria</w:t>
                  </w:r>
                </w:p>
              </w:tc>
              <w:tc>
                <w:tcPr>
                  <w:tcW w:w="445" w:type="dxa"/>
                  <w:shd w:val="clear" w:color="auto" w:fill="auto"/>
                  <w:vAlign w:val="bottom"/>
                  <w:hideMark/>
                </w:tcPr>
                <w:p w14:paraId="4149904F"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w:t>
                  </w:r>
                </w:p>
              </w:tc>
              <w:tc>
                <w:tcPr>
                  <w:tcW w:w="1017" w:type="dxa"/>
                  <w:shd w:val="clear" w:color="auto" w:fill="auto"/>
                  <w:noWrap/>
                  <w:vAlign w:val="bottom"/>
                  <w:hideMark/>
                </w:tcPr>
                <w:p w14:paraId="3E31F3A7"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*R/V</w:t>
                  </w:r>
                </w:p>
              </w:tc>
              <w:tc>
                <w:tcPr>
                  <w:tcW w:w="7261" w:type="dxa"/>
                  <w:shd w:val="clear" w:color="auto" w:fill="auto"/>
                  <w:noWrap/>
                  <w:vAlign w:val="bottom"/>
                  <w:hideMark/>
                </w:tcPr>
                <w:p w14:paraId="1D5D160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Descrição da prática de Governança Corporativa</w:t>
                  </w:r>
                </w:p>
              </w:tc>
            </w:tr>
            <w:tr w:rsidR="009C0634" w:rsidRPr="009C0634" w14:paraId="52ACA007" w14:textId="77777777" w:rsidTr="009C0634">
              <w:trPr>
                <w:trHeight w:val="312"/>
                <w:jc w:val="center"/>
              </w:trPr>
              <w:tc>
                <w:tcPr>
                  <w:tcW w:w="1408" w:type="dxa"/>
                  <w:vMerge w:val="restart"/>
                  <w:shd w:val="clear" w:color="auto" w:fill="auto"/>
                  <w:vAlign w:val="center"/>
                  <w:hideMark/>
                </w:tcPr>
                <w:p w14:paraId="500B2B6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Conteúdo das informações públicas</w:t>
                  </w:r>
                </w:p>
              </w:tc>
              <w:tc>
                <w:tcPr>
                  <w:tcW w:w="445" w:type="dxa"/>
                  <w:shd w:val="clear" w:color="auto" w:fill="auto"/>
                  <w:noWrap/>
                  <w:vAlign w:val="bottom"/>
                  <w:hideMark/>
                </w:tcPr>
                <w:p w14:paraId="578D91E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w:t>
                  </w:r>
                </w:p>
              </w:tc>
              <w:tc>
                <w:tcPr>
                  <w:tcW w:w="1017" w:type="dxa"/>
                  <w:shd w:val="clear" w:color="auto" w:fill="auto"/>
                  <w:noWrap/>
                  <w:vAlign w:val="bottom"/>
                  <w:hideMark/>
                </w:tcPr>
                <w:p w14:paraId="6D22D8DA"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6CE61B27"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Relatório Administrativo inclui uma seção específica dedicada à implementação de princípios de governança corporativa?</w:t>
                  </w:r>
                </w:p>
              </w:tc>
            </w:tr>
            <w:tr w:rsidR="009C0634" w:rsidRPr="009C0634" w14:paraId="6329E67D" w14:textId="77777777" w:rsidTr="009C0634">
              <w:trPr>
                <w:trHeight w:val="312"/>
                <w:jc w:val="center"/>
              </w:trPr>
              <w:tc>
                <w:tcPr>
                  <w:tcW w:w="1408" w:type="dxa"/>
                  <w:vMerge/>
                  <w:vAlign w:val="center"/>
                  <w:hideMark/>
                </w:tcPr>
                <w:p w14:paraId="438405EF"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3AE4700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w:t>
                  </w:r>
                </w:p>
              </w:tc>
              <w:tc>
                <w:tcPr>
                  <w:tcW w:w="1017" w:type="dxa"/>
                  <w:shd w:val="clear" w:color="auto" w:fill="auto"/>
                  <w:noWrap/>
                  <w:vAlign w:val="bottom"/>
                  <w:hideMark/>
                </w:tcPr>
                <w:p w14:paraId="68AB6E7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13BA0A4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Relatório Administrativo explica a remuneração global dos executivos?</w:t>
                  </w:r>
                </w:p>
              </w:tc>
            </w:tr>
            <w:tr w:rsidR="009C0634" w:rsidRPr="009C0634" w14:paraId="13EED7AE" w14:textId="77777777" w:rsidTr="009C0634">
              <w:trPr>
                <w:trHeight w:val="312"/>
                <w:jc w:val="center"/>
              </w:trPr>
              <w:tc>
                <w:tcPr>
                  <w:tcW w:w="1408" w:type="dxa"/>
                  <w:vMerge/>
                  <w:vAlign w:val="center"/>
                  <w:hideMark/>
                </w:tcPr>
                <w:p w14:paraId="597C444B"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0F54C6E4"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3</w:t>
                  </w:r>
                </w:p>
              </w:tc>
              <w:tc>
                <w:tcPr>
                  <w:tcW w:w="1017" w:type="dxa"/>
                  <w:shd w:val="clear" w:color="auto" w:fill="auto"/>
                  <w:noWrap/>
                  <w:vAlign w:val="bottom"/>
                  <w:hideMark/>
                </w:tcPr>
                <w:p w14:paraId="425EE3E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4D5A154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Relatório Administrativo publica as operações com partes relacionadas?</w:t>
                  </w:r>
                </w:p>
              </w:tc>
            </w:tr>
            <w:tr w:rsidR="009C0634" w:rsidRPr="009C0634" w14:paraId="0E0CC896" w14:textId="77777777" w:rsidTr="009C0634">
              <w:trPr>
                <w:trHeight w:val="312"/>
                <w:jc w:val="center"/>
              </w:trPr>
              <w:tc>
                <w:tcPr>
                  <w:tcW w:w="1408" w:type="dxa"/>
                  <w:vMerge/>
                  <w:vAlign w:val="center"/>
                  <w:hideMark/>
                </w:tcPr>
                <w:p w14:paraId="4CD4D8FF"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1C957D9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4</w:t>
                  </w:r>
                </w:p>
              </w:tc>
              <w:tc>
                <w:tcPr>
                  <w:tcW w:w="1017" w:type="dxa"/>
                  <w:shd w:val="clear" w:color="auto" w:fill="auto"/>
                  <w:noWrap/>
                  <w:vAlign w:val="bottom"/>
                  <w:hideMark/>
                </w:tcPr>
                <w:p w14:paraId="2E00B4BF"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6C22CC84"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Relatório Administrativo explicita as atividades, projetos, objetivos futuros e grau de Compliance da entidade?</w:t>
                  </w:r>
                </w:p>
              </w:tc>
            </w:tr>
            <w:tr w:rsidR="009C0634" w:rsidRPr="009C0634" w14:paraId="05A937D7" w14:textId="77777777" w:rsidTr="009C0634">
              <w:trPr>
                <w:trHeight w:val="312"/>
                <w:jc w:val="center"/>
              </w:trPr>
              <w:tc>
                <w:tcPr>
                  <w:tcW w:w="1408" w:type="dxa"/>
                  <w:vMerge/>
                  <w:vAlign w:val="center"/>
                  <w:hideMark/>
                </w:tcPr>
                <w:p w14:paraId="1B77D3DF"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5F07E063"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5</w:t>
                  </w:r>
                </w:p>
              </w:tc>
              <w:tc>
                <w:tcPr>
                  <w:tcW w:w="1017" w:type="dxa"/>
                  <w:shd w:val="clear" w:color="auto" w:fill="auto"/>
                  <w:noWrap/>
                  <w:vAlign w:val="bottom"/>
                  <w:hideMark/>
                </w:tcPr>
                <w:p w14:paraId="4C380FA7"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1DBD63C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Relatório Administrativo divulga o Código de Ética/Conduta?</w:t>
                  </w:r>
                </w:p>
              </w:tc>
            </w:tr>
            <w:tr w:rsidR="009C0634" w:rsidRPr="009C0634" w14:paraId="364AB175" w14:textId="77777777" w:rsidTr="009C0634">
              <w:trPr>
                <w:trHeight w:val="312"/>
                <w:jc w:val="center"/>
              </w:trPr>
              <w:tc>
                <w:tcPr>
                  <w:tcW w:w="1408" w:type="dxa"/>
                  <w:vMerge/>
                  <w:vAlign w:val="center"/>
                  <w:hideMark/>
                </w:tcPr>
                <w:p w14:paraId="47CFDA38"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0BF3692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6</w:t>
                  </w:r>
                </w:p>
              </w:tc>
              <w:tc>
                <w:tcPr>
                  <w:tcW w:w="1017" w:type="dxa"/>
                  <w:shd w:val="clear" w:color="auto" w:fill="auto"/>
                  <w:noWrap/>
                  <w:vAlign w:val="bottom"/>
                  <w:hideMark/>
                </w:tcPr>
                <w:p w14:paraId="141558E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1200730F"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Relatório Administrativo inclui uma seção com estimativas de lucros ou projeções de retornos financeiros?</w:t>
                  </w:r>
                </w:p>
              </w:tc>
            </w:tr>
            <w:tr w:rsidR="009C0634" w:rsidRPr="009C0634" w14:paraId="180698FD" w14:textId="77777777" w:rsidTr="009C0634">
              <w:trPr>
                <w:trHeight w:val="312"/>
                <w:jc w:val="center"/>
              </w:trPr>
              <w:tc>
                <w:tcPr>
                  <w:tcW w:w="1408" w:type="dxa"/>
                  <w:vMerge/>
                  <w:vAlign w:val="center"/>
                  <w:hideMark/>
                </w:tcPr>
                <w:p w14:paraId="6A86B962"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4D82C34F"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7</w:t>
                  </w:r>
                </w:p>
              </w:tc>
              <w:tc>
                <w:tcPr>
                  <w:tcW w:w="1017" w:type="dxa"/>
                  <w:shd w:val="clear" w:color="auto" w:fill="auto"/>
                  <w:noWrap/>
                  <w:vAlign w:val="bottom"/>
                  <w:hideMark/>
                </w:tcPr>
                <w:p w14:paraId="2C8B9E51"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0345637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Divulga demonstrações contábeis consolidadas elaboradas com base no padrão contábil internacional?</w:t>
                  </w:r>
                </w:p>
              </w:tc>
            </w:tr>
            <w:tr w:rsidR="009C0634" w:rsidRPr="009C0634" w14:paraId="0657689A" w14:textId="77777777" w:rsidTr="009C0634">
              <w:trPr>
                <w:trHeight w:val="312"/>
                <w:jc w:val="center"/>
              </w:trPr>
              <w:tc>
                <w:tcPr>
                  <w:tcW w:w="1408" w:type="dxa"/>
                  <w:vMerge/>
                  <w:vAlign w:val="center"/>
                  <w:hideMark/>
                </w:tcPr>
                <w:p w14:paraId="5027EEF0"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2706538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8</w:t>
                  </w:r>
                </w:p>
              </w:tc>
              <w:tc>
                <w:tcPr>
                  <w:tcW w:w="1017" w:type="dxa"/>
                  <w:shd w:val="clear" w:color="auto" w:fill="auto"/>
                  <w:noWrap/>
                  <w:vAlign w:val="bottom"/>
                  <w:hideMark/>
                </w:tcPr>
                <w:p w14:paraId="38BFB39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2D5A901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Divulga informações relativas à Gestão de Risco de Crédito, Mercado e Operacional?</w:t>
                  </w:r>
                </w:p>
              </w:tc>
            </w:tr>
            <w:tr w:rsidR="009C0634" w:rsidRPr="009C0634" w14:paraId="33F44011" w14:textId="77777777" w:rsidTr="009C0634">
              <w:trPr>
                <w:trHeight w:val="312"/>
                <w:jc w:val="center"/>
              </w:trPr>
              <w:tc>
                <w:tcPr>
                  <w:tcW w:w="1408" w:type="dxa"/>
                  <w:vMerge/>
                  <w:vAlign w:val="center"/>
                  <w:hideMark/>
                </w:tcPr>
                <w:p w14:paraId="62549B08"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62CC7FDC"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9</w:t>
                  </w:r>
                </w:p>
              </w:tc>
              <w:tc>
                <w:tcPr>
                  <w:tcW w:w="1017" w:type="dxa"/>
                  <w:shd w:val="clear" w:color="auto" w:fill="auto"/>
                  <w:noWrap/>
                  <w:vAlign w:val="bottom"/>
                  <w:hideMark/>
                </w:tcPr>
                <w:p w14:paraId="5A5201B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1718F824"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Divulga a metodologia de apuração do Patrimônio de Referência (PR)?</w:t>
                  </w:r>
                </w:p>
              </w:tc>
            </w:tr>
            <w:tr w:rsidR="009C0634" w:rsidRPr="009C0634" w14:paraId="63494A3F" w14:textId="77777777" w:rsidTr="009C0634">
              <w:trPr>
                <w:trHeight w:val="312"/>
                <w:jc w:val="center"/>
              </w:trPr>
              <w:tc>
                <w:tcPr>
                  <w:tcW w:w="1408" w:type="dxa"/>
                  <w:vMerge/>
                  <w:vAlign w:val="center"/>
                  <w:hideMark/>
                </w:tcPr>
                <w:p w14:paraId="3C4A8E7D"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134921B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10</w:t>
                  </w:r>
                </w:p>
              </w:tc>
              <w:tc>
                <w:tcPr>
                  <w:tcW w:w="1017" w:type="dxa"/>
                  <w:shd w:val="clear" w:color="auto" w:fill="auto"/>
                  <w:noWrap/>
                  <w:vAlign w:val="bottom"/>
                  <w:hideMark/>
                </w:tcPr>
                <w:p w14:paraId="779FF85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4F073A02" w14:textId="5C64E520"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Divulga a metodologia de apuração do montante dos ativos ponderados pelo risco e a mensuração da sua mitigação?</w:t>
                  </w:r>
                </w:p>
              </w:tc>
            </w:tr>
            <w:tr w:rsidR="009C0634" w:rsidRPr="009C0634" w14:paraId="0F837D3E" w14:textId="77777777" w:rsidTr="009C0634">
              <w:trPr>
                <w:trHeight w:val="312"/>
                <w:jc w:val="center"/>
              </w:trPr>
              <w:tc>
                <w:tcPr>
                  <w:tcW w:w="1408" w:type="dxa"/>
                  <w:vMerge w:val="restart"/>
                  <w:shd w:val="clear" w:color="auto" w:fill="auto"/>
                  <w:vAlign w:val="center"/>
                  <w:hideMark/>
                </w:tcPr>
                <w:p w14:paraId="0DB245D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Conselho de Administração e Conselho Fiscal</w:t>
                  </w:r>
                </w:p>
              </w:tc>
              <w:tc>
                <w:tcPr>
                  <w:tcW w:w="445" w:type="dxa"/>
                  <w:shd w:val="clear" w:color="auto" w:fill="auto"/>
                  <w:noWrap/>
                  <w:vAlign w:val="bottom"/>
                  <w:hideMark/>
                </w:tcPr>
                <w:p w14:paraId="0B2DA1EC"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11</w:t>
                  </w:r>
                </w:p>
              </w:tc>
              <w:tc>
                <w:tcPr>
                  <w:tcW w:w="1017" w:type="dxa"/>
                  <w:shd w:val="clear" w:color="auto" w:fill="auto"/>
                  <w:noWrap/>
                  <w:vAlign w:val="bottom"/>
                  <w:hideMark/>
                </w:tcPr>
                <w:p w14:paraId="70A98E4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33C45F2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Os cargos de Diretor Executivo e Presidente do Conselho de Administração são ocupados por pessoas diferentes?</w:t>
                  </w:r>
                </w:p>
              </w:tc>
            </w:tr>
            <w:tr w:rsidR="009C0634" w:rsidRPr="009C0634" w14:paraId="3F3171AA" w14:textId="77777777" w:rsidTr="009C0634">
              <w:trPr>
                <w:trHeight w:val="312"/>
                <w:jc w:val="center"/>
              </w:trPr>
              <w:tc>
                <w:tcPr>
                  <w:tcW w:w="1408" w:type="dxa"/>
                  <w:vMerge/>
                  <w:vAlign w:val="center"/>
                  <w:hideMark/>
                </w:tcPr>
                <w:p w14:paraId="426862BA"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39A0640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12</w:t>
                  </w:r>
                </w:p>
              </w:tc>
              <w:tc>
                <w:tcPr>
                  <w:tcW w:w="1017" w:type="dxa"/>
                  <w:shd w:val="clear" w:color="auto" w:fill="auto"/>
                  <w:noWrap/>
                  <w:vAlign w:val="bottom"/>
                  <w:hideMark/>
                </w:tcPr>
                <w:p w14:paraId="592AD81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5BB1630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A empresa possui um Conselho de Administração com 5 a 11 membros?</w:t>
                  </w:r>
                </w:p>
              </w:tc>
            </w:tr>
            <w:tr w:rsidR="009C0634" w:rsidRPr="009C0634" w14:paraId="49501894" w14:textId="77777777" w:rsidTr="009C0634">
              <w:trPr>
                <w:trHeight w:val="312"/>
                <w:jc w:val="center"/>
              </w:trPr>
              <w:tc>
                <w:tcPr>
                  <w:tcW w:w="1408" w:type="dxa"/>
                  <w:vMerge/>
                  <w:vAlign w:val="center"/>
                  <w:hideMark/>
                </w:tcPr>
                <w:p w14:paraId="66E26A56"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17164E72"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13</w:t>
                  </w:r>
                </w:p>
              </w:tc>
              <w:tc>
                <w:tcPr>
                  <w:tcW w:w="1017" w:type="dxa"/>
                  <w:shd w:val="clear" w:color="auto" w:fill="auto"/>
                  <w:noWrap/>
                  <w:vAlign w:val="bottom"/>
                  <w:hideMark/>
                </w:tcPr>
                <w:p w14:paraId="4DCC1FCA"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2AEC60F3"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Mais de 2/3 do Conselho de Administração é composto por conselheiros externos e independentes?</w:t>
                  </w:r>
                </w:p>
              </w:tc>
            </w:tr>
            <w:tr w:rsidR="009C0634" w:rsidRPr="009C0634" w14:paraId="33F32D30" w14:textId="77777777" w:rsidTr="009C0634">
              <w:trPr>
                <w:trHeight w:val="312"/>
                <w:jc w:val="center"/>
              </w:trPr>
              <w:tc>
                <w:tcPr>
                  <w:tcW w:w="1408" w:type="dxa"/>
                  <w:vMerge/>
                  <w:vAlign w:val="center"/>
                  <w:hideMark/>
                </w:tcPr>
                <w:p w14:paraId="20CBB87D"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42715B44"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14</w:t>
                  </w:r>
                </w:p>
              </w:tc>
              <w:tc>
                <w:tcPr>
                  <w:tcW w:w="1017" w:type="dxa"/>
                  <w:shd w:val="clear" w:color="auto" w:fill="auto"/>
                  <w:noWrap/>
                  <w:vAlign w:val="bottom"/>
                  <w:hideMark/>
                </w:tcPr>
                <w:p w14:paraId="11C720F7"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1F484E5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Conselho de Administração possui mandato não superior a 2 anos?</w:t>
                  </w:r>
                </w:p>
              </w:tc>
            </w:tr>
            <w:tr w:rsidR="009C0634" w:rsidRPr="009C0634" w14:paraId="4FB70A32" w14:textId="77777777" w:rsidTr="009C0634">
              <w:trPr>
                <w:trHeight w:val="312"/>
                <w:jc w:val="center"/>
              </w:trPr>
              <w:tc>
                <w:tcPr>
                  <w:tcW w:w="1408" w:type="dxa"/>
                  <w:vMerge/>
                  <w:vAlign w:val="center"/>
                  <w:hideMark/>
                </w:tcPr>
                <w:p w14:paraId="13195764"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4E3A5FB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15</w:t>
                  </w:r>
                </w:p>
              </w:tc>
              <w:tc>
                <w:tcPr>
                  <w:tcW w:w="1017" w:type="dxa"/>
                  <w:shd w:val="clear" w:color="auto" w:fill="auto"/>
                  <w:noWrap/>
                  <w:vAlign w:val="bottom"/>
                  <w:hideMark/>
                </w:tcPr>
                <w:p w14:paraId="30768E6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4F42C61C"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Conselho de Administração possui mandato não superior a 4 anos?</w:t>
                  </w:r>
                </w:p>
              </w:tc>
            </w:tr>
            <w:tr w:rsidR="009C0634" w:rsidRPr="009C0634" w14:paraId="50AE1193" w14:textId="77777777" w:rsidTr="009C0634">
              <w:trPr>
                <w:trHeight w:val="312"/>
                <w:jc w:val="center"/>
              </w:trPr>
              <w:tc>
                <w:tcPr>
                  <w:tcW w:w="1408" w:type="dxa"/>
                  <w:vMerge/>
                  <w:vAlign w:val="center"/>
                  <w:hideMark/>
                </w:tcPr>
                <w:p w14:paraId="3C0EFAD4"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25B9689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16</w:t>
                  </w:r>
                </w:p>
              </w:tc>
              <w:tc>
                <w:tcPr>
                  <w:tcW w:w="1017" w:type="dxa"/>
                  <w:shd w:val="clear" w:color="auto" w:fill="auto"/>
                  <w:noWrap/>
                  <w:vAlign w:val="bottom"/>
                  <w:hideMark/>
                </w:tcPr>
                <w:p w14:paraId="54EF217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74E357D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Há na companhia Conselho Fiscal permanente e independente?</w:t>
                  </w:r>
                </w:p>
              </w:tc>
            </w:tr>
            <w:tr w:rsidR="009C0634" w:rsidRPr="009C0634" w14:paraId="755D7721" w14:textId="77777777" w:rsidTr="009C0634">
              <w:trPr>
                <w:trHeight w:val="312"/>
                <w:jc w:val="center"/>
              </w:trPr>
              <w:tc>
                <w:tcPr>
                  <w:tcW w:w="1408" w:type="dxa"/>
                  <w:vMerge/>
                  <w:vAlign w:val="center"/>
                  <w:hideMark/>
                </w:tcPr>
                <w:p w14:paraId="40E5040D"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2CD943C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17</w:t>
                  </w:r>
                </w:p>
              </w:tc>
              <w:tc>
                <w:tcPr>
                  <w:tcW w:w="1017" w:type="dxa"/>
                  <w:shd w:val="clear" w:color="auto" w:fill="auto"/>
                  <w:noWrap/>
                  <w:vAlign w:val="bottom"/>
                  <w:hideMark/>
                </w:tcPr>
                <w:p w14:paraId="260A406D"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7256573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Há pelo menos 2 conselheiros com capacitação em finanças e técnicas contábeis?</w:t>
                  </w:r>
                </w:p>
              </w:tc>
            </w:tr>
            <w:tr w:rsidR="009C0634" w:rsidRPr="009C0634" w14:paraId="74BD9FF0" w14:textId="77777777" w:rsidTr="009C0634">
              <w:trPr>
                <w:trHeight w:val="312"/>
                <w:jc w:val="center"/>
              </w:trPr>
              <w:tc>
                <w:tcPr>
                  <w:tcW w:w="1408" w:type="dxa"/>
                  <w:vMerge/>
                  <w:vAlign w:val="center"/>
                  <w:hideMark/>
                </w:tcPr>
                <w:p w14:paraId="1DB02134"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08F6973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18</w:t>
                  </w:r>
                </w:p>
              </w:tc>
              <w:tc>
                <w:tcPr>
                  <w:tcW w:w="1017" w:type="dxa"/>
                  <w:shd w:val="clear" w:color="auto" w:fill="auto"/>
                  <w:noWrap/>
                  <w:vAlign w:val="bottom"/>
                  <w:hideMark/>
                </w:tcPr>
                <w:p w14:paraId="7714E6B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77E3AF01"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conselho elabora um plano de sucessão do diretor-presidente e de outros executivos para mitigar o risco de ausência de pessoas chaves?</w:t>
                  </w:r>
                </w:p>
              </w:tc>
            </w:tr>
            <w:tr w:rsidR="009C0634" w:rsidRPr="009C0634" w14:paraId="082501D1" w14:textId="77777777" w:rsidTr="009C0634">
              <w:trPr>
                <w:trHeight w:val="312"/>
                <w:jc w:val="center"/>
              </w:trPr>
              <w:tc>
                <w:tcPr>
                  <w:tcW w:w="1408" w:type="dxa"/>
                  <w:vMerge w:val="restart"/>
                  <w:shd w:val="clear" w:color="auto" w:fill="auto"/>
                  <w:vAlign w:val="center"/>
                  <w:hideMark/>
                </w:tcPr>
                <w:p w14:paraId="29ADADA7"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Gestão de Risco, Compliance, Auditoria e demais Comitês</w:t>
                  </w:r>
                </w:p>
              </w:tc>
              <w:tc>
                <w:tcPr>
                  <w:tcW w:w="445" w:type="dxa"/>
                  <w:shd w:val="clear" w:color="auto" w:fill="auto"/>
                  <w:noWrap/>
                  <w:vAlign w:val="bottom"/>
                  <w:hideMark/>
                </w:tcPr>
                <w:p w14:paraId="06EBB610"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19</w:t>
                  </w:r>
                </w:p>
              </w:tc>
              <w:tc>
                <w:tcPr>
                  <w:tcW w:w="1017" w:type="dxa"/>
                  <w:shd w:val="clear" w:color="auto" w:fill="auto"/>
                  <w:noWrap/>
                  <w:vAlign w:val="bottom"/>
                  <w:hideMark/>
                </w:tcPr>
                <w:p w14:paraId="1BB447DA"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6E3526F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As funções das áreas de Gestão de Risco, Compliance e Auditoria são independentes?</w:t>
                  </w:r>
                </w:p>
              </w:tc>
            </w:tr>
            <w:tr w:rsidR="009C0634" w:rsidRPr="009C0634" w14:paraId="15956318" w14:textId="77777777" w:rsidTr="009C0634">
              <w:trPr>
                <w:trHeight w:val="312"/>
                <w:jc w:val="center"/>
              </w:trPr>
              <w:tc>
                <w:tcPr>
                  <w:tcW w:w="1408" w:type="dxa"/>
                  <w:vMerge/>
                  <w:vAlign w:val="center"/>
                  <w:hideMark/>
                </w:tcPr>
                <w:p w14:paraId="0EC35D03"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77D3E46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20</w:t>
                  </w:r>
                </w:p>
              </w:tc>
              <w:tc>
                <w:tcPr>
                  <w:tcW w:w="1017" w:type="dxa"/>
                  <w:shd w:val="clear" w:color="auto" w:fill="auto"/>
                  <w:noWrap/>
                  <w:vAlign w:val="bottom"/>
                  <w:hideMark/>
                </w:tcPr>
                <w:p w14:paraId="16EE129F"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464D111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Há um Comitê de Auditoria com, no mínimo, 3 auditores independentes?</w:t>
                  </w:r>
                </w:p>
              </w:tc>
            </w:tr>
            <w:tr w:rsidR="009C0634" w:rsidRPr="009C0634" w14:paraId="41E5A6D7" w14:textId="77777777" w:rsidTr="009C0634">
              <w:trPr>
                <w:trHeight w:val="312"/>
                <w:jc w:val="center"/>
              </w:trPr>
              <w:tc>
                <w:tcPr>
                  <w:tcW w:w="1408" w:type="dxa"/>
                  <w:vMerge/>
                  <w:vAlign w:val="center"/>
                  <w:hideMark/>
                </w:tcPr>
                <w:p w14:paraId="1F074AFD"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75D49962"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21</w:t>
                  </w:r>
                </w:p>
              </w:tc>
              <w:tc>
                <w:tcPr>
                  <w:tcW w:w="1017" w:type="dxa"/>
                  <w:shd w:val="clear" w:color="auto" w:fill="auto"/>
                  <w:noWrap/>
                  <w:vAlign w:val="bottom"/>
                  <w:hideMark/>
                </w:tcPr>
                <w:p w14:paraId="780D3DC2"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2F0730B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A instituição possui Auditoria Independente com responsável técnico contratado há menos de 5 anos?</w:t>
                  </w:r>
                </w:p>
              </w:tc>
            </w:tr>
            <w:tr w:rsidR="009C0634" w:rsidRPr="009C0634" w14:paraId="63FBE897" w14:textId="77777777" w:rsidTr="009C0634">
              <w:trPr>
                <w:trHeight w:val="312"/>
                <w:jc w:val="center"/>
              </w:trPr>
              <w:tc>
                <w:tcPr>
                  <w:tcW w:w="1408" w:type="dxa"/>
                  <w:vMerge/>
                  <w:vAlign w:val="center"/>
                  <w:hideMark/>
                </w:tcPr>
                <w:p w14:paraId="223E5A54"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4D1C024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22</w:t>
                  </w:r>
                </w:p>
              </w:tc>
              <w:tc>
                <w:tcPr>
                  <w:tcW w:w="1017" w:type="dxa"/>
                  <w:shd w:val="clear" w:color="auto" w:fill="auto"/>
                  <w:noWrap/>
                  <w:vAlign w:val="bottom"/>
                  <w:hideMark/>
                </w:tcPr>
                <w:p w14:paraId="46908615"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3174AC1F"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conselho compreende um Comitê de Governança Corporativa?</w:t>
                  </w:r>
                </w:p>
              </w:tc>
            </w:tr>
            <w:tr w:rsidR="009C0634" w:rsidRPr="009C0634" w14:paraId="650BF62F" w14:textId="77777777" w:rsidTr="009C0634">
              <w:trPr>
                <w:trHeight w:val="312"/>
                <w:jc w:val="center"/>
              </w:trPr>
              <w:tc>
                <w:tcPr>
                  <w:tcW w:w="1408" w:type="dxa"/>
                  <w:vMerge/>
                  <w:vAlign w:val="center"/>
                  <w:hideMark/>
                </w:tcPr>
                <w:p w14:paraId="5216E60F"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5384BB4B"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23</w:t>
                  </w:r>
                </w:p>
              </w:tc>
              <w:tc>
                <w:tcPr>
                  <w:tcW w:w="1017" w:type="dxa"/>
                  <w:shd w:val="clear" w:color="auto" w:fill="auto"/>
                  <w:noWrap/>
                  <w:vAlign w:val="bottom"/>
                  <w:hideMark/>
                </w:tcPr>
                <w:p w14:paraId="26121107"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1E23F8C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conselho compreende um Comitê de Família?</w:t>
                  </w:r>
                </w:p>
              </w:tc>
            </w:tr>
            <w:tr w:rsidR="009C0634" w:rsidRPr="009C0634" w14:paraId="693C15FB" w14:textId="77777777" w:rsidTr="009C0634">
              <w:trPr>
                <w:trHeight w:val="312"/>
                <w:jc w:val="center"/>
              </w:trPr>
              <w:tc>
                <w:tcPr>
                  <w:tcW w:w="1408" w:type="dxa"/>
                  <w:vMerge/>
                  <w:vAlign w:val="center"/>
                  <w:hideMark/>
                </w:tcPr>
                <w:p w14:paraId="16F047A3"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1AF8F489"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24</w:t>
                  </w:r>
                </w:p>
              </w:tc>
              <w:tc>
                <w:tcPr>
                  <w:tcW w:w="1017" w:type="dxa"/>
                  <w:shd w:val="clear" w:color="auto" w:fill="auto"/>
                  <w:noWrap/>
                  <w:vAlign w:val="bottom"/>
                  <w:hideMark/>
                </w:tcPr>
                <w:p w14:paraId="5BC9E7B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6BCB16F1"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Há um Comitê de Gestão de Riscos e de Capital?</w:t>
                  </w:r>
                </w:p>
              </w:tc>
            </w:tr>
            <w:tr w:rsidR="009C0634" w:rsidRPr="009C0634" w14:paraId="1310F1A0" w14:textId="77777777" w:rsidTr="009C0634">
              <w:trPr>
                <w:trHeight w:val="312"/>
                <w:jc w:val="center"/>
              </w:trPr>
              <w:tc>
                <w:tcPr>
                  <w:tcW w:w="1408" w:type="dxa"/>
                  <w:vMerge/>
                  <w:vAlign w:val="center"/>
                  <w:hideMark/>
                </w:tcPr>
                <w:p w14:paraId="412436E5"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255ABA92"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25</w:t>
                  </w:r>
                </w:p>
              </w:tc>
              <w:tc>
                <w:tcPr>
                  <w:tcW w:w="1017" w:type="dxa"/>
                  <w:shd w:val="clear" w:color="auto" w:fill="auto"/>
                  <w:noWrap/>
                  <w:vAlign w:val="bottom"/>
                  <w:hideMark/>
                </w:tcPr>
                <w:p w14:paraId="24B4428A"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32697742"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Existe um funcionário da instituição responsável pelo cumprimento das regras de Compliance?</w:t>
                  </w:r>
                </w:p>
              </w:tc>
            </w:tr>
            <w:tr w:rsidR="009C0634" w:rsidRPr="009C0634" w14:paraId="0380B37B" w14:textId="77777777" w:rsidTr="009C0634">
              <w:trPr>
                <w:trHeight w:val="312"/>
                <w:jc w:val="center"/>
              </w:trPr>
              <w:tc>
                <w:tcPr>
                  <w:tcW w:w="1408" w:type="dxa"/>
                  <w:vMerge/>
                  <w:vAlign w:val="center"/>
                  <w:hideMark/>
                </w:tcPr>
                <w:p w14:paraId="0C124804"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3461807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26</w:t>
                  </w:r>
                </w:p>
              </w:tc>
              <w:tc>
                <w:tcPr>
                  <w:tcW w:w="1017" w:type="dxa"/>
                  <w:shd w:val="clear" w:color="auto" w:fill="auto"/>
                  <w:noWrap/>
                  <w:vAlign w:val="bottom"/>
                  <w:hideMark/>
                </w:tcPr>
                <w:p w14:paraId="1B8A4C3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239AC4E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Há um Comitê de Partes Relacionadas?</w:t>
                  </w:r>
                </w:p>
              </w:tc>
            </w:tr>
            <w:tr w:rsidR="009C0634" w:rsidRPr="009C0634" w14:paraId="3A9E5AF8" w14:textId="77777777" w:rsidTr="009C0634">
              <w:trPr>
                <w:trHeight w:val="312"/>
                <w:jc w:val="center"/>
              </w:trPr>
              <w:tc>
                <w:tcPr>
                  <w:tcW w:w="1408" w:type="dxa"/>
                  <w:vMerge w:val="restart"/>
                  <w:shd w:val="clear" w:color="auto" w:fill="auto"/>
                  <w:vAlign w:val="center"/>
                  <w:hideMark/>
                </w:tcPr>
                <w:p w14:paraId="7B7215D3"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Estrutura de propriedade e Controle de ambiente de processos</w:t>
                  </w:r>
                </w:p>
              </w:tc>
              <w:tc>
                <w:tcPr>
                  <w:tcW w:w="445" w:type="dxa"/>
                  <w:shd w:val="clear" w:color="auto" w:fill="auto"/>
                  <w:noWrap/>
                  <w:vAlign w:val="bottom"/>
                  <w:hideMark/>
                </w:tcPr>
                <w:p w14:paraId="62BC3CEE"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27</w:t>
                  </w:r>
                </w:p>
              </w:tc>
              <w:tc>
                <w:tcPr>
                  <w:tcW w:w="1017" w:type="dxa"/>
                  <w:shd w:val="clear" w:color="auto" w:fill="auto"/>
                  <w:noWrap/>
                  <w:vAlign w:val="bottom"/>
                  <w:hideMark/>
                </w:tcPr>
                <w:p w14:paraId="6A7A6B4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V</w:t>
                  </w:r>
                </w:p>
              </w:tc>
              <w:tc>
                <w:tcPr>
                  <w:tcW w:w="7261" w:type="dxa"/>
                  <w:shd w:val="clear" w:color="auto" w:fill="auto"/>
                  <w:noWrap/>
                  <w:vAlign w:val="bottom"/>
                  <w:hideMark/>
                </w:tcPr>
                <w:p w14:paraId="75723D1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Os controladores possuem menos que 75% do total do capital da sociedade?</w:t>
                  </w:r>
                </w:p>
              </w:tc>
            </w:tr>
            <w:tr w:rsidR="009C0634" w:rsidRPr="009C0634" w14:paraId="64EF6A47" w14:textId="77777777" w:rsidTr="009C0634">
              <w:trPr>
                <w:trHeight w:val="312"/>
                <w:jc w:val="center"/>
              </w:trPr>
              <w:tc>
                <w:tcPr>
                  <w:tcW w:w="1408" w:type="dxa"/>
                  <w:vMerge/>
                  <w:vAlign w:val="center"/>
                  <w:hideMark/>
                </w:tcPr>
                <w:p w14:paraId="6814BE2C"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7ED09544"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28</w:t>
                  </w:r>
                </w:p>
              </w:tc>
              <w:tc>
                <w:tcPr>
                  <w:tcW w:w="1017" w:type="dxa"/>
                  <w:shd w:val="clear" w:color="auto" w:fill="auto"/>
                  <w:noWrap/>
                  <w:vAlign w:val="bottom"/>
                  <w:hideMark/>
                </w:tcPr>
                <w:p w14:paraId="22FB5880"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1F7EF7A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O Índice de Basiléia é igual ou superior a 13% (Basiléia III)?</w:t>
                  </w:r>
                </w:p>
              </w:tc>
            </w:tr>
            <w:tr w:rsidR="009C0634" w:rsidRPr="009C0634" w14:paraId="2B4CAED4" w14:textId="77777777" w:rsidTr="009C0634">
              <w:trPr>
                <w:trHeight w:val="312"/>
                <w:jc w:val="center"/>
              </w:trPr>
              <w:tc>
                <w:tcPr>
                  <w:tcW w:w="1408" w:type="dxa"/>
                  <w:vMerge/>
                  <w:vAlign w:val="center"/>
                  <w:hideMark/>
                </w:tcPr>
                <w:p w14:paraId="4FCD10DD" w14:textId="77777777" w:rsidR="009C0634" w:rsidRPr="009C0634" w:rsidRDefault="009C0634" w:rsidP="009C0634">
                  <w:pPr>
                    <w:pStyle w:val="SemEspaamento"/>
                    <w:jc w:val="center"/>
                    <w:rPr>
                      <w:rFonts w:ascii="Times New Roman" w:hAnsi="Times New Roman" w:cs="Times New Roman"/>
                      <w:sz w:val="20"/>
                      <w:szCs w:val="20"/>
                      <w:lang w:eastAsia="pt-BR"/>
                    </w:rPr>
                  </w:pPr>
                </w:p>
              </w:tc>
              <w:tc>
                <w:tcPr>
                  <w:tcW w:w="445" w:type="dxa"/>
                  <w:shd w:val="clear" w:color="auto" w:fill="auto"/>
                  <w:noWrap/>
                  <w:vAlign w:val="bottom"/>
                  <w:hideMark/>
                </w:tcPr>
                <w:p w14:paraId="090CDDC8"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29</w:t>
                  </w:r>
                </w:p>
              </w:tc>
              <w:tc>
                <w:tcPr>
                  <w:tcW w:w="1017" w:type="dxa"/>
                  <w:shd w:val="clear" w:color="auto" w:fill="auto"/>
                  <w:noWrap/>
                  <w:vAlign w:val="bottom"/>
                  <w:hideMark/>
                </w:tcPr>
                <w:p w14:paraId="4DA4FFEC"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R</w:t>
                  </w:r>
                </w:p>
              </w:tc>
              <w:tc>
                <w:tcPr>
                  <w:tcW w:w="7261" w:type="dxa"/>
                  <w:shd w:val="clear" w:color="auto" w:fill="auto"/>
                  <w:noWrap/>
                  <w:vAlign w:val="bottom"/>
                  <w:hideMark/>
                </w:tcPr>
                <w:p w14:paraId="4DFAD866" w14:textId="77777777" w:rsidR="009C0634" w:rsidRPr="009C0634" w:rsidRDefault="009C0634" w:rsidP="009C0634">
                  <w:pPr>
                    <w:pStyle w:val="SemEspaamento"/>
                    <w:jc w:val="center"/>
                    <w:rPr>
                      <w:rFonts w:ascii="Times New Roman" w:hAnsi="Times New Roman" w:cs="Times New Roman"/>
                      <w:sz w:val="20"/>
                      <w:szCs w:val="20"/>
                      <w:lang w:eastAsia="pt-BR"/>
                    </w:rPr>
                  </w:pPr>
                  <w:r w:rsidRPr="009C0634">
                    <w:rPr>
                      <w:rFonts w:ascii="Times New Roman" w:hAnsi="Times New Roman" w:cs="Times New Roman"/>
                      <w:sz w:val="20"/>
                      <w:szCs w:val="20"/>
                      <w:lang w:eastAsia="pt-BR"/>
                    </w:rPr>
                    <w:t>Possui Política de Responsabilidade Socioambiental?</w:t>
                  </w:r>
                </w:p>
              </w:tc>
            </w:tr>
          </w:tbl>
          <w:p w14:paraId="37DBB277" w14:textId="77777777" w:rsidR="009C0634" w:rsidRPr="009C0634" w:rsidRDefault="009C0634" w:rsidP="009C0634">
            <w:pPr>
              <w:spacing w:after="0" w:line="360" w:lineRule="auto"/>
              <w:jc w:val="both"/>
              <w:rPr>
                <w:rFonts w:ascii="Times New Roman" w:eastAsia="Times New Roman" w:hAnsi="Times New Roman"/>
                <w:b/>
                <w:bCs/>
                <w:sz w:val="24"/>
                <w:szCs w:val="24"/>
                <w:lang w:eastAsia="pt-BR"/>
              </w:rPr>
            </w:pPr>
          </w:p>
        </w:tc>
      </w:tr>
    </w:tbl>
    <w:p w14:paraId="11B42001" w14:textId="77777777" w:rsidR="009C0634" w:rsidRPr="009C0634" w:rsidRDefault="009C0634" w:rsidP="009C0634">
      <w:pPr>
        <w:pStyle w:val="SemEspaamento"/>
        <w:jc w:val="center"/>
        <w:rPr>
          <w:rFonts w:ascii="Times New Roman" w:hAnsi="Times New Roman" w:cs="Times New Roman"/>
          <w:sz w:val="20"/>
          <w:szCs w:val="20"/>
        </w:rPr>
      </w:pPr>
      <w:r w:rsidRPr="009C0634">
        <w:rPr>
          <w:rFonts w:ascii="Times New Roman" w:hAnsi="Times New Roman" w:cs="Times New Roman"/>
          <w:sz w:val="20"/>
          <w:szCs w:val="20"/>
        </w:rPr>
        <w:t>Fonte: Korontai e Fonseca (2019, p. 158 e 159)</w:t>
      </w:r>
    </w:p>
    <w:p w14:paraId="463C6F20" w14:textId="77777777" w:rsidR="009C0634" w:rsidRPr="009C0634" w:rsidRDefault="009C0634" w:rsidP="009C0634">
      <w:pPr>
        <w:pStyle w:val="SemEspaamento"/>
        <w:jc w:val="center"/>
        <w:rPr>
          <w:rFonts w:ascii="Times New Roman" w:hAnsi="Times New Roman" w:cs="Times New Roman"/>
          <w:sz w:val="20"/>
          <w:szCs w:val="20"/>
        </w:rPr>
      </w:pPr>
      <w:r w:rsidRPr="009C0634">
        <w:rPr>
          <w:rFonts w:ascii="Times New Roman" w:hAnsi="Times New Roman" w:cs="Times New Roman"/>
          <w:sz w:val="20"/>
          <w:szCs w:val="20"/>
        </w:rPr>
        <w:t>* Prática regulada ou voluntária</w:t>
      </w:r>
    </w:p>
    <w:p w14:paraId="177FF146" w14:textId="77777777" w:rsidR="009C0634" w:rsidRPr="009C0634" w:rsidRDefault="009C0634" w:rsidP="009C0634">
      <w:pPr>
        <w:pStyle w:val="SemEspaamento"/>
        <w:spacing w:line="360" w:lineRule="auto"/>
        <w:jc w:val="both"/>
        <w:rPr>
          <w:rFonts w:ascii="Times New Roman" w:hAnsi="Times New Roman" w:cs="Times New Roman"/>
          <w:sz w:val="24"/>
          <w:szCs w:val="24"/>
        </w:rPr>
      </w:pPr>
    </w:p>
    <w:p w14:paraId="2257CB52" w14:textId="33F1BF9C" w:rsidR="009C0634" w:rsidRPr="009C0634" w:rsidRDefault="009C0634" w:rsidP="009C0634">
      <w:pPr>
        <w:pStyle w:val="Ttulo1"/>
        <w:spacing w:before="0" w:line="360" w:lineRule="auto"/>
        <w:jc w:val="both"/>
        <w:rPr>
          <w:rFonts w:ascii="Times New Roman" w:hAnsi="Times New Roman" w:cs="Times New Roman"/>
          <w:b/>
          <w:bCs/>
          <w:color w:val="AF0FCB"/>
          <w:sz w:val="24"/>
          <w:szCs w:val="24"/>
        </w:rPr>
      </w:pPr>
      <w:r w:rsidRPr="009C0634">
        <w:rPr>
          <w:rFonts w:ascii="Times New Roman" w:hAnsi="Times New Roman" w:cs="Times New Roman"/>
          <w:b/>
          <w:bCs/>
          <w:color w:val="AF0FCB"/>
          <w:sz w:val="24"/>
          <w:szCs w:val="24"/>
        </w:rPr>
        <w:lastRenderedPageBreak/>
        <w:t xml:space="preserve">5 </w:t>
      </w:r>
      <w:r w:rsidRPr="009C0634">
        <w:rPr>
          <w:rFonts w:ascii="Times New Roman" w:hAnsi="Times New Roman" w:cs="Times New Roman"/>
          <w:b/>
          <w:bCs/>
          <w:color w:val="AF0FCB"/>
          <w:sz w:val="24"/>
          <w:szCs w:val="24"/>
        </w:rPr>
        <w:t>DESENVOLVIMENTO</w:t>
      </w:r>
    </w:p>
    <w:p w14:paraId="1D1FC7CE" w14:textId="77777777" w:rsidR="009C0634" w:rsidRPr="009C0634" w:rsidRDefault="009C0634" w:rsidP="009C0634">
      <w:pPr>
        <w:spacing w:after="0" w:line="360" w:lineRule="auto"/>
        <w:ind w:firstLine="708"/>
        <w:jc w:val="both"/>
        <w:rPr>
          <w:rFonts w:ascii="Times New Roman" w:hAnsi="Times New Roman"/>
          <w:sz w:val="24"/>
          <w:szCs w:val="24"/>
        </w:rPr>
      </w:pPr>
      <w:r w:rsidRPr="009C0634">
        <w:rPr>
          <w:rFonts w:ascii="Times New Roman" w:hAnsi="Times New Roman"/>
          <w:sz w:val="24"/>
          <w:szCs w:val="24"/>
        </w:rPr>
        <w:t>Ao longo de nossa pesquisa com o tema a influência das regulamentações sobre a governança corporativa das instituições financeiras. Durante anos, as autoridades reguladoras têm buscado aprimorar a estabilidade do sistema bancário, proteger os interesses dos acionistas e garantir a integridade dos mercados financeiros. Essas regulamentações frequentemente estabelecem diretrizes rigorosas para as práticas de governança corporativa, promovendo transparência, responsabilidade e conformidade.</w:t>
      </w:r>
    </w:p>
    <w:p w14:paraId="1B24E2DC" w14:textId="77777777" w:rsidR="009C0634" w:rsidRDefault="009C0634" w:rsidP="009C0634">
      <w:pPr>
        <w:pStyle w:val="Ttulo2"/>
        <w:spacing w:before="0" w:line="360" w:lineRule="auto"/>
        <w:jc w:val="both"/>
        <w:rPr>
          <w:rFonts w:ascii="Times New Roman" w:hAnsi="Times New Roman" w:cs="Times New Roman"/>
          <w:sz w:val="24"/>
          <w:szCs w:val="24"/>
        </w:rPr>
      </w:pPr>
    </w:p>
    <w:p w14:paraId="6740FA75" w14:textId="558F17D6" w:rsidR="009C0634" w:rsidRPr="009C0634" w:rsidRDefault="009C0634" w:rsidP="009C0634">
      <w:pPr>
        <w:pStyle w:val="Ttulo2"/>
        <w:spacing w:before="0" w:line="360" w:lineRule="auto"/>
        <w:jc w:val="both"/>
        <w:rPr>
          <w:rFonts w:ascii="Times New Roman" w:hAnsi="Times New Roman" w:cs="Times New Roman"/>
          <w:color w:val="AF0FCB"/>
          <w:sz w:val="24"/>
          <w:szCs w:val="24"/>
        </w:rPr>
      </w:pPr>
      <w:r w:rsidRPr="009C0634">
        <w:rPr>
          <w:rFonts w:ascii="Times New Roman" w:hAnsi="Times New Roman" w:cs="Times New Roman"/>
          <w:color w:val="AF0FCB"/>
          <w:sz w:val="24"/>
          <w:szCs w:val="24"/>
        </w:rPr>
        <w:t>5.1 APRESENTAÇÃO DOS DADOS</w:t>
      </w:r>
    </w:p>
    <w:p w14:paraId="42D5456D" w14:textId="77777777" w:rsidR="009C0634" w:rsidRPr="009C0634" w:rsidRDefault="009C0634" w:rsidP="009C0634">
      <w:pPr>
        <w:spacing w:after="0" w:line="360" w:lineRule="auto"/>
        <w:ind w:firstLine="708"/>
        <w:jc w:val="both"/>
        <w:rPr>
          <w:rFonts w:ascii="Times New Roman" w:hAnsi="Times New Roman"/>
          <w:sz w:val="24"/>
          <w:szCs w:val="24"/>
        </w:rPr>
      </w:pPr>
      <w:r w:rsidRPr="009C0634">
        <w:rPr>
          <w:rFonts w:ascii="Times New Roman" w:hAnsi="Times New Roman"/>
          <w:sz w:val="24"/>
          <w:szCs w:val="24"/>
        </w:rPr>
        <w:t>Na apresentação resultados da análise revelam que a influência da regulação sobre a governança corporativa não é uniforme entre as instituições financeiras. Encontrou-se variações significativas na conformidade e na eficácia das práticas de governança, mesmo quando as regulamentações são consistentes. Isso sugere que a implementação eficaz das regulamentações é uma questão complexa e multifacetada, dependendo não apenas das exigências regulatórias, mas também da cultura organizacional, do comprometimento da alta administração e de fatores externos, como pressões de mercado.</w:t>
      </w:r>
    </w:p>
    <w:p w14:paraId="46109A2E" w14:textId="77777777" w:rsidR="009C0634" w:rsidRDefault="009C0634" w:rsidP="009C0634">
      <w:pPr>
        <w:pStyle w:val="Ttulo3"/>
        <w:spacing w:before="0" w:line="360" w:lineRule="auto"/>
        <w:jc w:val="both"/>
        <w:rPr>
          <w:rFonts w:ascii="Times New Roman" w:hAnsi="Times New Roman" w:cs="Times New Roman"/>
        </w:rPr>
      </w:pPr>
    </w:p>
    <w:p w14:paraId="0AD54828" w14:textId="110ADB64" w:rsidR="009C0634" w:rsidRPr="009C0634" w:rsidRDefault="009C0634" w:rsidP="009C0634">
      <w:pPr>
        <w:pStyle w:val="Ttulo3"/>
        <w:spacing w:before="0" w:line="360" w:lineRule="auto"/>
        <w:jc w:val="both"/>
        <w:rPr>
          <w:rFonts w:ascii="Times New Roman" w:hAnsi="Times New Roman" w:cs="Times New Roman"/>
          <w:color w:val="AF0FCB"/>
        </w:rPr>
      </w:pPr>
      <w:r w:rsidRPr="009C0634">
        <w:rPr>
          <w:rFonts w:ascii="Times New Roman" w:hAnsi="Times New Roman" w:cs="Times New Roman"/>
          <w:color w:val="AF0FCB"/>
        </w:rPr>
        <w:t>5.2 QUANTO A BASE DE DADOS COLETADAS</w:t>
      </w:r>
    </w:p>
    <w:p w14:paraId="333DED0A" w14:textId="77777777" w:rsidR="009C0634" w:rsidRPr="009C0634" w:rsidRDefault="009C0634" w:rsidP="009C0634">
      <w:pPr>
        <w:spacing w:after="0" w:line="360" w:lineRule="auto"/>
        <w:ind w:firstLine="708"/>
        <w:jc w:val="both"/>
        <w:rPr>
          <w:rFonts w:ascii="Times New Roman" w:hAnsi="Times New Roman"/>
          <w:sz w:val="24"/>
          <w:szCs w:val="24"/>
        </w:rPr>
      </w:pPr>
      <w:r w:rsidRPr="009C0634">
        <w:rPr>
          <w:rFonts w:ascii="Times New Roman" w:hAnsi="Times New Roman"/>
          <w:sz w:val="24"/>
          <w:szCs w:val="24"/>
        </w:rPr>
        <w:t>Ao explorar-se a associação entre as práticas de governança corporativa e os indicadores de desempenho e risco no setor bancário. Embora exista um consenso crescente de que uma governança corporativa sólida pode contribuir para a estabilidade financeira e a criação de valor, nossos resultados demonstram que essa relação não é linear. As instituições bancárias bem governadas podem experimentar níveis variados de desempenho e risco, dependendo de vários fatores, incluindo o ambiente macroeconômico e a estratégia de negócios.</w:t>
      </w:r>
    </w:p>
    <w:p w14:paraId="25F0EAD5" w14:textId="77777777" w:rsidR="007F2CCB" w:rsidRPr="007F2CCB" w:rsidRDefault="009C0634" w:rsidP="007F2CCB">
      <w:pPr>
        <w:spacing w:after="0" w:line="360" w:lineRule="auto"/>
        <w:ind w:firstLine="708"/>
        <w:jc w:val="both"/>
        <w:rPr>
          <w:rFonts w:ascii="Times New Roman" w:hAnsi="Times New Roman"/>
          <w:sz w:val="24"/>
          <w:szCs w:val="24"/>
        </w:rPr>
      </w:pPr>
      <w:r w:rsidRPr="009C0634">
        <w:rPr>
          <w:rFonts w:ascii="Times New Roman" w:hAnsi="Times New Roman"/>
          <w:sz w:val="24"/>
          <w:szCs w:val="24"/>
        </w:rPr>
        <w:t xml:space="preserve">No instrumento apresentado no </w:t>
      </w:r>
      <w:r w:rsidRPr="009C0634">
        <w:rPr>
          <w:rFonts w:ascii="Times New Roman" w:hAnsi="Times New Roman"/>
          <w:sz w:val="24"/>
          <w:szCs w:val="24"/>
        </w:rPr>
        <w:fldChar w:fldCharType="begin"/>
      </w:r>
      <w:r w:rsidRPr="009C0634">
        <w:rPr>
          <w:rFonts w:ascii="Times New Roman" w:hAnsi="Times New Roman"/>
          <w:sz w:val="24"/>
          <w:szCs w:val="24"/>
        </w:rPr>
        <w:instrText xml:space="preserve"> REF _Ref145596399 \h  \* MERGEFORMAT </w:instrText>
      </w:r>
      <w:r w:rsidRPr="009C0634">
        <w:rPr>
          <w:rFonts w:ascii="Times New Roman" w:hAnsi="Times New Roman"/>
          <w:sz w:val="24"/>
          <w:szCs w:val="24"/>
        </w:rPr>
      </w:r>
      <w:r w:rsidRPr="009C0634">
        <w:rPr>
          <w:rFonts w:ascii="Times New Roman" w:hAnsi="Times New Roman"/>
          <w:sz w:val="24"/>
          <w:szCs w:val="24"/>
        </w:rPr>
        <w:fldChar w:fldCharType="separate"/>
      </w:r>
      <w:r w:rsidR="007F2CCB" w:rsidRPr="007F2CCB">
        <w:rPr>
          <w:rFonts w:ascii="Times New Roman" w:hAnsi="Times New Roman"/>
          <w:sz w:val="24"/>
          <w:szCs w:val="24"/>
        </w:rPr>
        <w:t xml:space="preserve">Quadro </w:t>
      </w:r>
      <w:r w:rsidR="007F2CCB" w:rsidRPr="007F2CCB">
        <w:rPr>
          <w:rFonts w:ascii="Times New Roman" w:hAnsi="Times New Roman"/>
          <w:sz w:val="24"/>
          <w:szCs w:val="24"/>
        </w:rPr>
        <w:t>1</w:t>
      </w:r>
      <w:r w:rsidRPr="009C0634">
        <w:rPr>
          <w:rFonts w:ascii="Times New Roman" w:hAnsi="Times New Roman"/>
          <w:sz w:val="24"/>
          <w:szCs w:val="24"/>
        </w:rPr>
        <w:fldChar w:fldCharType="end"/>
      </w:r>
      <w:r w:rsidRPr="009C0634">
        <w:rPr>
          <w:rFonts w:ascii="Times New Roman" w:hAnsi="Times New Roman"/>
          <w:sz w:val="24"/>
          <w:szCs w:val="24"/>
        </w:rPr>
        <w:t xml:space="preserve"> (pág. </w:t>
      </w:r>
      <w:r w:rsidRPr="009C0634">
        <w:rPr>
          <w:rFonts w:ascii="Times New Roman" w:hAnsi="Times New Roman"/>
          <w:sz w:val="24"/>
          <w:szCs w:val="24"/>
        </w:rPr>
        <w:fldChar w:fldCharType="begin"/>
      </w:r>
      <w:r w:rsidRPr="009C0634">
        <w:rPr>
          <w:rFonts w:ascii="Times New Roman" w:hAnsi="Times New Roman"/>
          <w:sz w:val="24"/>
          <w:szCs w:val="24"/>
        </w:rPr>
        <w:instrText xml:space="preserve"> PAGEREF _Ref145596401 \h </w:instrText>
      </w:r>
      <w:r w:rsidRPr="009C0634">
        <w:rPr>
          <w:rFonts w:ascii="Times New Roman" w:hAnsi="Times New Roman"/>
          <w:sz w:val="24"/>
          <w:szCs w:val="24"/>
        </w:rPr>
      </w:r>
      <w:r w:rsidRPr="009C0634">
        <w:rPr>
          <w:rFonts w:ascii="Times New Roman" w:hAnsi="Times New Roman"/>
          <w:sz w:val="24"/>
          <w:szCs w:val="24"/>
        </w:rPr>
        <w:fldChar w:fldCharType="separate"/>
      </w:r>
      <w:r w:rsidR="007F2CCB">
        <w:rPr>
          <w:rFonts w:ascii="Times New Roman" w:hAnsi="Times New Roman"/>
          <w:noProof/>
          <w:sz w:val="24"/>
          <w:szCs w:val="24"/>
        </w:rPr>
        <w:t>7</w:t>
      </w:r>
      <w:r w:rsidRPr="009C0634">
        <w:rPr>
          <w:rFonts w:ascii="Times New Roman" w:hAnsi="Times New Roman"/>
          <w:sz w:val="24"/>
          <w:szCs w:val="24"/>
        </w:rPr>
        <w:fldChar w:fldCharType="end"/>
      </w:r>
      <w:r w:rsidRPr="009C0634">
        <w:rPr>
          <w:rFonts w:ascii="Times New Roman" w:hAnsi="Times New Roman"/>
          <w:sz w:val="24"/>
          <w:szCs w:val="24"/>
        </w:rPr>
        <w:t>), têm-se 10 itens com evidenciação regulada (</w:t>
      </w:r>
      <w:r w:rsidR="007F2CCB" w:rsidRPr="007F2CCB">
        <w:rPr>
          <w:rFonts w:ascii="Times New Roman" w:hAnsi="Times New Roman"/>
          <w:sz w:val="24"/>
          <w:szCs w:val="24"/>
        </w:rPr>
        <w:t> </w:t>
      </w:r>
    </w:p>
    <w:p w14:paraId="69BB6F8C" w14:textId="266DB2D7" w:rsidR="009C0634" w:rsidRPr="009C0634" w:rsidRDefault="007F2CCB" w:rsidP="007F2CCB">
      <w:pPr>
        <w:spacing w:after="0" w:line="360" w:lineRule="auto"/>
        <w:ind w:firstLine="708"/>
        <w:jc w:val="both"/>
        <w:rPr>
          <w:rFonts w:ascii="Times New Roman" w:hAnsi="Times New Roman"/>
          <w:sz w:val="24"/>
          <w:szCs w:val="24"/>
        </w:rPr>
      </w:pPr>
      <w:r w:rsidRPr="007F2CCB">
        <w:rPr>
          <w:rFonts w:ascii="Times New Roman" w:hAnsi="Times New Roman"/>
          <w:sz w:val="24"/>
          <w:szCs w:val="24"/>
        </w:rPr>
        <w:t>Gráfico 1 e Gráfico 3 e Gráfico 4) por órgãos de controle e 19 itens de evidenciação voluntária (Gráfico 2</w:t>
      </w:r>
      <w:r w:rsidR="009C0634" w:rsidRPr="009C0634">
        <w:rPr>
          <w:rFonts w:ascii="Times New Roman" w:hAnsi="Times New Roman"/>
          <w:sz w:val="24"/>
          <w:szCs w:val="24"/>
        </w:rPr>
        <w:t>), na pesquisa, identificou-se uma variação entre os itens. Pegou-se dois exemplos um banco privado e um banco estatal.</w:t>
      </w:r>
    </w:p>
    <w:p w14:paraId="1EF29C14" w14:textId="77777777" w:rsidR="009C0634" w:rsidRDefault="009C0634">
      <w:pPr>
        <w:rPr>
          <w:rFonts w:ascii="Times New Roman" w:eastAsiaTheme="minorHAnsi" w:hAnsi="Times New Roman"/>
          <w:sz w:val="24"/>
          <w:szCs w:val="24"/>
        </w:rPr>
      </w:pPr>
      <w:bookmarkStart w:id="3" w:name="_Ref145597039"/>
      <w:r>
        <w:rPr>
          <w:rFonts w:ascii="Times New Roman" w:hAnsi="Times New Roman"/>
          <w:sz w:val="24"/>
          <w:szCs w:val="24"/>
        </w:rPr>
        <w:br w:type="page"/>
      </w:r>
    </w:p>
    <w:p w14:paraId="3494D7F4" w14:textId="3B0C55C9" w:rsidR="009C0634" w:rsidRPr="00B77044" w:rsidRDefault="009C063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lastRenderedPageBreak/>
        <w:t xml:space="preserve">Gráfico </w:t>
      </w:r>
      <w:r w:rsidRPr="00B77044">
        <w:rPr>
          <w:rFonts w:ascii="Times New Roman" w:hAnsi="Times New Roman" w:cs="Times New Roman"/>
          <w:sz w:val="20"/>
          <w:szCs w:val="20"/>
        </w:rPr>
        <w:fldChar w:fldCharType="begin"/>
      </w:r>
      <w:r w:rsidRPr="00B77044">
        <w:rPr>
          <w:rFonts w:ascii="Times New Roman" w:hAnsi="Times New Roman" w:cs="Times New Roman"/>
          <w:sz w:val="20"/>
          <w:szCs w:val="20"/>
        </w:rPr>
        <w:instrText xml:space="preserve"> SEQ Gráfico \* ARABIC </w:instrText>
      </w:r>
      <w:r w:rsidRPr="00B77044">
        <w:rPr>
          <w:rFonts w:ascii="Times New Roman" w:hAnsi="Times New Roman" w:cs="Times New Roman"/>
          <w:sz w:val="20"/>
          <w:szCs w:val="20"/>
        </w:rPr>
        <w:fldChar w:fldCharType="separate"/>
      </w:r>
      <w:r w:rsidR="007F2CCB">
        <w:rPr>
          <w:rFonts w:ascii="Times New Roman" w:hAnsi="Times New Roman" w:cs="Times New Roman"/>
          <w:noProof/>
          <w:sz w:val="20"/>
          <w:szCs w:val="20"/>
        </w:rPr>
        <w:t>1</w:t>
      </w:r>
      <w:r w:rsidRPr="00B77044">
        <w:rPr>
          <w:rFonts w:ascii="Times New Roman" w:hAnsi="Times New Roman" w:cs="Times New Roman"/>
          <w:sz w:val="20"/>
          <w:szCs w:val="20"/>
        </w:rPr>
        <w:fldChar w:fldCharType="end"/>
      </w:r>
      <w:bookmarkEnd w:id="3"/>
      <w:r w:rsidRPr="00B77044">
        <w:rPr>
          <w:rFonts w:ascii="Times New Roman" w:hAnsi="Times New Roman" w:cs="Times New Roman"/>
          <w:sz w:val="20"/>
          <w:szCs w:val="20"/>
        </w:rPr>
        <w:t>: Evidenciação Regulada do ABC-Brasil</w:t>
      </w:r>
    </w:p>
    <w:p w14:paraId="211B5347" w14:textId="5233C5F7" w:rsidR="00A760FA" w:rsidRPr="009C0634" w:rsidRDefault="009C0634" w:rsidP="00B77044">
      <w:pPr>
        <w:pStyle w:val="SemEspaamento"/>
        <w:spacing w:line="360" w:lineRule="auto"/>
        <w:jc w:val="center"/>
        <w:rPr>
          <w:rFonts w:ascii="Times New Roman" w:hAnsi="Times New Roman" w:cs="Times New Roman"/>
          <w:sz w:val="24"/>
          <w:szCs w:val="24"/>
        </w:rPr>
      </w:pPr>
      <w:r w:rsidRPr="009C0634">
        <w:rPr>
          <w:rFonts w:ascii="Times New Roman" w:hAnsi="Times New Roman" w:cs="Times New Roman"/>
          <w:noProof/>
          <w:sz w:val="24"/>
          <w:szCs w:val="24"/>
        </w:rPr>
        <w:drawing>
          <wp:inline distT="0" distB="0" distL="0" distR="0" wp14:anchorId="273E79BC" wp14:editId="22D0F572">
            <wp:extent cx="2676525" cy="1628775"/>
            <wp:effectExtent l="0" t="0" r="9525" b="9525"/>
            <wp:docPr id="961460713" name="Gráfico 1">
              <a:extLst xmlns:a="http://schemas.openxmlformats.org/drawingml/2006/main">
                <a:ext uri="{FF2B5EF4-FFF2-40B4-BE49-F238E27FC236}">
                  <a16:creationId xmlns:a16="http://schemas.microsoft.com/office/drawing/2014/main" id="{7BDB60F3-FB10-893C-3997-2C6D8A56D2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EDB747" w14:textId="77777777" w:rsidR="009C0634" w:rsidRPr="00B77044" w:rsidRDefault="009C063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t>Fonte: Dados da Pesquisa (2023)</w:t>
      </w:r>
    </w:p>
    <w:p w14:paraId="45A4F83F" w14:textId="294CF65D" w:rsidR="009C0634" w:rsidRPr="009C0634" w:rsidRDefault="003E6D95" w:rsidP="009C0634">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p>
    <w:p w14:paraId="38230138" w14:textId="40E79E47" w:rsidR="009C0634" w:rsidRPr="00B77044" w:rsidRDefault="009C0634" w:rsidP="00B77044">
      <w:pPr>
        <w:pStyle w:val="SemEspaamento"/>
        <w:jc w:val="center"/>
        <w:rPr>
          <w:rFonts w:ascii="Times New Roman" w:hAnsi="Times New Roman" w:cs="Times New Roman"/>
          <w:sz w:val="20"/>
          <w:szCs w:val="20"/>
        </w:rPr>
      </w:pPr>
      <w:bookmarkStart w:id="4" w:name="_Ref145597055"/>
      <w:r w:rsidRPr="00B77044">
        <w:rPr>
          <w:rFonts w:ascii="Times New Roman" w:hAnsi="Times New Roman" w:cs="Times New Roman"/>
          <w:sz w:val="20"/>
          <w:szCs w:val="20"/>
        </w:rPr>
        <w:t xml:space="preserve">Gráfico </w:t>
      </w:r>
      <w:r w:rsidRPr="00B77044">
        <w:rPr>
          <w:rFonts w:ascii="Times New Roman" w:hAnsi="Times New Roman" w:cs="Times New Roman"/>
          <w:sz w:val="20"/>
          <w:szCs w:val="20"/>
        </w:rPr>
        <w:fldChar w:fldCharType="begin"/>
      </w:r>
      <w:r w:rsidRPr="00B77044">
        <w:rPr>
          <w:rFonts w:ascii="Times New Roman" w:hAnsi="Times New Roman" w:cs="Times New Roman"/>
          <w:sz w:val="20"/>
          <w:szCs w:val="20"/>
        </w:rPr>
        <w:instrText xml:space="preserve"> SEQ Gráfico \* ARABIC </w:instrText>
      </w:r>
      <w:r w:rsidRPr="00B77044">
        <w:rPr>
          <w:rFonts w:ascii="Times New Roman" w:hAnsi="Times New Roman" w:cs="Times New Roman"/>
          <w:sz w:val="20"/>
          <w:szCs w:val="20"/>
        </w:rPr>
        <w:fldChar w:fldCharType="separate"/>
      </w:r>
      <w:r w:rsidR="007F2CCB">
        <w:rPr>
          <w:rFonts w:ascii="Times New Roman" w:hAnsi="Times New Roman" w:cs="Times New Roman"/>
          <w:noProof/>
          <w:sz w:val="20"/>
          <w:szCs w:val="20"/>
        </w:rPr>
        <w:t>2</w:t>
      </w:r>
      <w:r w:rsidRPr="00B77044">
        <w:rPr>
          <w:rFonts w:ascii="Times New Roman" w:hAnsi="Times New Roman" w:cs="Times New Roman"/>
          <w:sz w:val="20"/>
          <w:szCs w:val="20"/>
        </w:rPr>
        <w:fldChar w:fldCharType="end"/>
      </w:r>
      <w:bookmarkEnd w:id="4"/>
      <w:r w:rsidRPr="00B77044">
        <w:rPr>
          <w:rFonts w:ascii="Times New Roman" w:hAnsi="Times New Roman" w:cs="Times New Roman"/>
          <w:sz w:val="20"/>
          <w:szCs w:val="20"/>
        </w:rPr>
        <w:t>: Evidenciação Voluntária do ABC-Brasil</w:t>
      </w:r>
    </w:p>
    <w:p w14:paraId="4091E5A0" w14:textId="522035BE" w:rsidR="009C0634" w:rsidRPr="009C0634" w:rsidRDefault="009C0634" w:rsidP="00B77044">
      <w:pPr>
        <w:spacing w:after="0" w:line="360" w:lineRule="auto"/>
        <w:jc w:val="center"/>
        <w:rPr>
          <w:rFonts w:ascii="Times New Roman" w:hAnsi="Times New Roman"/>
          <w:noProof/>
          <w:sz w:val="24"/>
          <w:szCs w:val="24"/>
        </w:rPr>
      </w:pPr>
      <w:r w:rsidRPr="009C0634">
        <w:rPr>
          <w:rFonts w:ascii="Times New Roman" w:hAnsi="Times New Roman"/>
          <w:noProof/>
          <w:sz w:val="24"/>
          <w:szCs w:val="24"/>
        </w:rPr>
        <w:drawing>
          <wp:inline distT="0" distB="0" distL="0" distR="0" wp14:anchorId="38BA8F98" wp14:editId="68237E54">
            <wp:extent cx="2962275" cy="1552575"/>
            <wp:effectExtent l="0" t="0" r="9525" b="9525"/>
            <wp:docPr id="1297805848" name="Gráfico 1">
              <a:extLst xmlns:a="http://schemas.openxmlformats.org/drawingml/2006/main">
                <a:ext uri="{FF2B5EF4-FFF2-40B4-BE49-F238E27FC236}">
                  <a16:creationId xmlns:a16="http://schemas.microsoft.com/office/drawing/2014/main" id="{EB4CDFC6-6A5B-8DA1-812D-4B82ED3DE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B0BDEA" w14:textId="77777777" w:rsidR="00B77044" w:rsidRPr="00B77044" w:rsidRDefault="00B7704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t>Fonte: Dados da Pesquisa (2023)</w:t>
      </w:r>
    </w:p>
    <w:p w14:paraId="7A982452" w14:textId="77777777" w:rsidR="009C0634" w:rsidRPr="009C0634" w:rsidRDefault="009C0634" w:rsidP="009C0634">
      <w:pPr>
        <w:spacing w:after="0" w:line="360" w:lineRule="auto"/>
        <w:jc w:val="both"/>
        <w:rPr>
          <w:rFonts w:ascii="Times New Roman" w:hAnsi="Times New Roman"/>
          <w:noProof/>
          <w:sz w:val="24"/>
          <w:szCs w:val="24"/>
        </w:rPr>
      </w:pPr>
    </w:p>
    <w:p w14:paraId="57F7B778" w14:textId="1138935B" w:rsidR="009C0634" w:rsidRPr="00B77044" w:rsidRDefault="009C0634" w:rsidP="00B77044">
      <w:pPr>
        <w:pStyle w:val="SemEspaamento"/>
        <w:jc w:val="center"/>
        <w:rPr>
          <w:rFonts w:ascii="Times New Roman" w:hAnsi="Times New Roman" w:cs="Times New Roman"/>
          <w:sz w:val="20"/>
          <w:szCs w:val="20"/>
        </w:rPr>
      </w:pPr>
      <w:bookmarkStart w:id="5" w:name="_Ref145598000"/>
      <w:r w:rsidRPr="00B77044">
        <w:rPr>
          <w:rFonts w:ascii="Times New Roman" w:hAnsi="Times New Roman" w:cs="Times New Roman"/>
          <w:sz w:val="20"/>
          <w:szCs w:val="20"/>
        </w:rPr>
        <w:t xml:space="preserve">Gráfico </w:t>
      </w:r>
      <w:r w:rsidRPr="00B77044">
        <w:rPr>
          <w:rFonts w:ascii="Times New Roman" w:hAnsi="Times New Roman" w:cs="Times New Roman"/>
          <w:sz w:val="20"/>
          <w:szCs w:val="20"/>
        </w:rPr>
        <w:fldChar w:fldCharType="begin"/>
      </w:r>
      <w:r w:rsidRPr="00B77044">
        <w:rPr>
          <w:rFonts w:ascii="Times New Roman" w:hAnsi="Times New Roman" w:cs="Times New Roman"/>
          <w:sz w:val="20"/>
          <w:szCs w:val="20"/>
        </w:rPr>
        <w:instrText xml:space="preserve"> SEQ Gráfico \* ARABIC </w:instrText>
      </w:r>
      <w:r w:rsidRPr="00B77044">
        <w:rPr>
          <w:rFonts w:ascii="Times New Roman" w:hAnsi="Times New Roman" w:cs="Times New Roman"/>
          <w:sz w:val="20"/>
          <w:szCs w:val="20"/>
        </w:rPr>
        <w:fldChar w:fldCharType="separate"/>
      </w:r>
      <w:r w:rsidR="007F2CCB">
        <w:rPr>
          <w:rFonts w:ascii="Times New Roman" w:hAnsi="Times New Roman" w:cs="Times New Roman"/>
          <w:noProof/>
          <w:sz w:val="20"/>
          <w:szCs w:val="20"/>
        </w:rPr>
        <w:t>3</w:t>
      </w:r>
      <w:r w:rsidRPr="00B77044">
        <w:rPr>
          <w:rFonts w:ascii="Times New Roman" w:hAnsi="Times New Roman" w:cs="Times New Roman"/>
          <w:noProof/>
          <w:sz w:val="20"/>
          <w:szCs w:val="20"/>
        </w:rPr>
        <w:fldChar w:fldCharType="end"/>
      </w:r>
      <w:bookmarkEnd w:id="5"/>
      <w:r w:rsidRPr="00B77044">
        <w:rPr>
          <w:rFonts w:ascii="Times New Roman" w:hAnsi="Times New Roman" w:cs="Times New Roman"/>
          <w:sz w:val="20"/>
          <w:szCs w:val="20"/>
        </w:rPr>
        <w:t>: Evidenciação Regulada do Banrisul</w:t>
      </w:r>
    </w:p>
    <w:p w14:paraId="24D34480" w14:textId="47B12FF0" w:rsidR="009C0634" w:rsidRPr="009C0634" w:rsidRDefault="009C0634" w:rsidP="00B77044">
      <w:pPr>
        <w:spacing w:after="0" w:line="360" w:lineRule="auto"/>
        <w:jc w:val="center"/>
        <w:rPr>
          <w:rFonts w:ascii="Times New Roman" w:hAnsi="Times New Roman"/>
          <w:noProof/>
          <w:sz w:val="24"/>
          <w:szCs w:val="24"/>
        </w:rPr>
      </w:pPr>
      <w:r w:rsidRPr="009C0634">
        <w:rPr>
          <w:rFonts w:ascii="Times New Roman" w:hAnsi="Times New Roman"/>
          <w:noProof/>
          <w:sz w:val="24"/>
          <w:szCs w:val="24"/>
        </w:rPr>
        <w:drawing>
          <wp:inline distT="0" distB="0" distL="0" distR="0" wp14:anchorId="7388ECDE" wp14:editId="66F3E2F4">
            <wp:extent cx="2743200" cy="1581150"/>
            <wp:effectExtent l="0" t="0" r="0" b="0"/>
            <wp:docPr id="117150137" name="Gráfico 1">
              <a:extLst xmlns:a="http://schemas.openxmlformats.org/drawingml/2006/main">
                <a:ext uri="{FF2B5EF4-FFF2-40B4-BE49-F238E27FC236}">
                  <a16:creationId xmlns:a16="http://schemas.microsoft.com/office/drawing/2014/main" id="{4E0E3D8E-9D76-B7AE-3490-17374DAF1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9E31FF" w14:textId="77777777" w:rsidR="00B77044" w:rsidRPr="00B77044" w:rsidRDefault="00B7704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t>Fonte: Dados da Pesquisa (2023)</w:t>
      </w:r>
    </w:p>
    <w:p w14:paraId="1C25AE11" w14:textId="77777777" w:rsidR="009C0634" w:rsidRPr="009C0634" w:rsidRDefault="009C0634" w:rsidP="009C0634">
      <w:pPr>
        <w:spacing w:after="0" w:line="360" w:lineRule="auto"/>
        <w:jc w:val="both"/>
        <w:rPr>
          <w:rFonts w:ascii="Times New Roman" w:hAnsi="Times New Roman"/>
          <w:noProof/>
          <w:sz w:val="24"/>
          <w:szCs w:val="24"/>
        </w:rPr>
      </w:pPr>
    </w:p>
    <w:p w14:paraId="759BDC10" w14:textId="02D703A3" w:rsidR="009C0634" w:rsidRPr="00B77044" w:rsidRDefault="009C0634" w:rsidP="00B77044">
      <w:pPr>
        <w:pStyle w:val="SemEspaamento"/>
        <w:jc w:val="center"/>
        <w:rPr>
          <w:rFonts w:ascii="Times New Roman" w:hAnsi="Times New Roman" w:cs="Times New Roman"/>
          <w:sz w:val="20"/>
          <w:szCs w:val="20"/>
        </w:rPr>
      </w:pPr>
      <w:bookmarkStart w:id="6" w:name="_Ref145598007"/>
      <w:r w:rsidRPr="00B77044">
        <w:rPr>
          <w:rFonts w:ascii="Times New Roman" w:hAnsi="Times New Roman" w:cs="Times New Roman"/>
          <w:sz w:val="20"/>
          <w:szCs w:val="20"/>
        </w:rPr>
        <w:t xml:space="preserve">Gráfico </w:t>
      </w:r>
      <w:r w:rsidRPr="00B77044">
        <w:rPr>
          <w:rFonts w:ascii="Times New Roman" w:hAnsi="Times New Roman" w:cs="Times New Roman"/>
          <w:sz w:val="20"/>
          <w:szCs w:val="20"/>
        </w:rPr>
        <w:fldChar w:fldCharType="begin"/>
      </w:r>
      <w:r w:rsidRPr="00B77044">
        <w:rPr>
          <w:rFonts w:ascii="Times New Roman" w:hAnsi="Times New Roman" w:cs="Times New Roman"/>
          <w:sz w:val="20"/>
          <w:szCs w:val="20"/>
        </w:rPr>
        <w:instrText xml:space="preserve"> SEQ Gráfico \* ARABIC </w:instrText>
      </w:r>
      <w:r w:rsidRPr="00B77044">
        <w:rPr>
          <w:rFonts w:ascii="Times New Roman" w:hAnsi="Times New Roman" w:cs="Times New Roman"/>
          <w:sz w:val="20"/>
          <w:szCs w:val="20"/>
        </w:rPr>
        <w:fldChar w:fldCharType="separate"/>
      </w:r>
      <w:r w:rsidR="007F2CCB">
        <w:rPr>
          <w:rFonts w:ascii="Times New Roman" w:hAnsi="Times New Roman" w:cs="Times New Roman"/>
          <w:noProof/>
          <w:sz w:val="20"/>
          <w:szCs w:val="20"/>
        </w:rPr>
        <w:t>4</w:t>
      </w:r>
      <w:r w:rsidRPr="00B77044">
        <w:rPr>
          <w:rFonts w:ascii="Times New Roman" w:hAnsi="Times New Roman" w:cs="Times New Roman"/>
          <w:noProof/>
          <w:sz w:val="20"/>
          <w:szCs w:val="20"/>
        </w:rPr>
        <w:fldChar w:fldCharType="end"/>
      </w:r>
      <w:bookmarkEnd w:id="6"/>
      <w:r w:rsidRPr="00B77044">
        <w:rPr>
          <w:rFonts w:ascii="Times New Roman" w:hAnsi="Times New Roman" w:cs="Times New Roman"/>
          <w:sz w:val="20"/>
          <w:szCs w:val="20"/>
        </w:rPr>
        <w:t>: Evidenciação Voluntária do Banrisul</w:t>
      </w:r>
    </w:p>
    <w:p w14:paraId="7393511E" w14:textId="455F50C3" w:rsidR="009C0634" w:rsidRDefault="009C0634" w:rsidP="00B77044">
      <w:pPr>
        <w:spacing w:after="0" w:line="360" w:lineRule="auto"/>
        <w:jc w:val="center"/>
        <w:rPr>
          <w:rFonts w:ascii="Times New Roman" w:hAnsi="Times New Roman"/>
          <w:noProof/>
          <w:sz w:val="24"/>
          <w:szCs w:val="24"/>
        </w:rPr>
      </w:pPr>
      <w:r w:rsidRPr="009C0634">
        <w:rPr>
          <w:rFonts w:ascii="Times New Roman" w:hAnsi="Times New Roman"/>
          <w:noProof/>
          <w:sz w:val="24"/>
          <w:szCs w:val="24"/>
        </w:rPr>
        <w:drawing>
          <wp:inline distT="0" distB="0" distL="0" distR="0" wp14:anchorId="74AA1B42" wp14:editId="3CE4ABB0">
            <wp:extent cx="2867025" cy="1533525"/>
            <wp:effectExtent l="0" t="0" r="9525" b="9525"/>
            <wp:docPr id="229620746" name="Gráfico 1">
              <a:extLst xmlns:a="http://schemas.openxmlformats.org/drawingml/2006/main">
                <a:ext uri="{FF2B5EF4-FFF2-40B4-BE49-F238E27FC236}">
                  <a16:creationId xmlns:a16="http://schemas.microsoft.com/office/drawing/2014/main" id="{244A3F7A-42B8-34E2-7836-3DFCE4B8C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26CE5A" w14:textId="54CA1EDA" w:rsidR="00B77044" w:rsidRPr="00B77044" w:rsidRDefault="00B7704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t>Fonte: Dados da Pesquisa (2023)</w:t>
      </w:r>
    </w:p>
    <w:p w14:paraId="052FAE33" w14:textId="18C71FE0" w:rsidR="00B77044" w:rsidRPr="00B77044" w:rsidRDefault="00B77044" w:rsidP="00B77044">
      <w:pPr>
        <w:tabs>
          <w:tab w:val="left" w:pos="1668"/>
        </w:tabs>
        <w:rPr>
          <w:rFonts w:ascii="Times New Roman" w:hAnsi="Times New Roman"/>
          <w:sz w:val="24"/>
          <w:szCs w:val="24"/>
        </w:rPr>
      </w:pPr>
    </w:p>
    <w:p w14:paraId="04D07E32"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lastRenderedPageBreak/>
        <w:t>À medida que evolua o cenário financeiro global, a compreensão dessas interações se torna cada vez mais crucial para tomadores de decisão, reguladores e partes interessadas no setor bancário. Espera-se que esta apresentação estimule discussões construtivas e estratégias que levem a uma governança corporativa mais eficaz e à promoção da segurança e do desempenho sustentável no setor bancário</w:t>
      </w:r>
    </w:p>
    <w:p w14:paraId="58CCAED8" w14:textId="77777777" w:rsidR="009C0634" w:rsidRDefault="009C0634" w:rsidP="009C0634">
      <w:pPr>
        <w:pStyle w:val="Ttulo3"/>
        <w:spacing w:before="0" w:line="360" w:lineRule="auto"/>
        <w:jc w:val="both"/>
        <w:rPr>
          <w:rFonts w:ascii="Times New Roman" w:hAnsi="Times New Roman" w:cs="Times New Roman"/>
        </w:rPr>
      </w:pPr>
    </w:p>
    <w:p w14:paraId="4D85ECB3" w14:textId="61093A16" w:rsidR="009C0634" w:rsidRPr="00B77044" w:rsidRDefault="009C0634" w:rsidP="009C0634">
      <w:pPr>
        <w:pStyle w:val="Ttulo3"/>
        <w:spacing w:before="0" w:line="360" w:lineRule="auto"/>
        <w:jc w:val="both"/>
        <w:rPr>
          <w:rFonts w:ascii="Times New Roman" w:hAnsi="Times New Roman" w:cs="Times New Roman"/>
          <w:b/>
          <w:bCs/>
          <w:color w:val="AF0FCB"/>
        </w:rPr>
      </w:pPr>
      <w:r w:rsidRPr="00B77044">
        <w:rPr>
          <w:rFonts w:ascii="Times New Roman" w:hAnsi="Times New Roman" w:cs="Times New Roman"/>
          <w:b/>
          <w:bCs/>
          <w:color w:val="AF0FCB"/>
        </w:rPr>
        <w:t xml:space="preserve">5.2.1 </w:t>
      </w:r>
      <w:r w:rsidRPr="00B77044">
        <w:rPr>
          <w:rFonts w:ascii="Times New Roman" w:hAnsi="Times New Roman" w:cs="Times New Roman"/>
          <w:b/>
          <w:bCs/>
          <w:color w:val="AF0FCB"/>
        </w:rPr>
        <w:t>IGOV-Bancos</w:t>
      </w:r>
    </w:p>
    <w:p w14:paraId="25D67322"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Ao analisar o nível de governança corporativa dos bancos brasileiros entre os anos de 2015 a 2022, por meio de dados extraídos dos relatórios anuais e notas explicativas, observa-se que nenhum apresentou o índice máximo (29) em todo período analisado </w:t>
      </w:r>
    </w:p>
    <w:p w14:paraId="29282998" w14:textId="77777777" w:rsidR="009C0634" w:rsidRPr="009C0634" w:rsidRDefault="009C0634" w:rsidP="009C0634">
      <w:pPr>
        <w:spacing w:after="0" w:line="360" w:lineRule="auto"/>
        <w:jc w:val="both"/>
        <w:rPr>
          <w:rFonts w:ascii="Times New Roman" w:hAnsi="Times New Roman"/>
          <w:sz w:val="24"/>
          <w:szCs w:val="24"/>
        </w:rPr>
      </w:pPr>
    </w:p>
    <w:p w14:paraId="3802478A" w14:textId="24182B4B" w:rsidR="009C0634" w:rsidRPr="00B77044" w:rsidRDefault="009C0634" w:rsidP="00B77044">
      <w:pPr>
        <w:pStyle w:val="SemEspaamento"/>
        <w:jc w:val="center"/>
        <w:rPr>
          <w:rFonts w:ascii="Times New Roman" w:hAnsi="Times New Roman" w:cs="Times New Roman"/>
          <w:sz w:val="20"/>
          <w:szCs w:val="20"/>
        </w:rPr>
      </w:pPr>
      <w:bookmarkStart w:id="7" w:name="_Ref145611812"/>
      <w:r w:rsidRPr="00B77044">
        <w:rPr>
          <w:rFonts w:ascii="Times New Roman" w:hAnsi="Times New Roman" w:cs="Times New Roman"/>
          <w:sz w:val="20"/>
          <w:szCs w:val="20"/>
        </w:rPr>
        <w:t xml:space="preserve">Gráfico </w:t>
      </w:r>
      <w:r w:rsidRPr="00B77044">
        <w:rPr>
          <w:rFonts w:ascii="Times New Roman" w:hAnsi="Times New Roman" w:cs="Times New Roman"/>
          <w:sz w:val="20"/>
          <w:szCs w:val="20"/>
        </w:rPr>
        <w:fldChar w:fldCharType="begin"/>
      </w:r>
      <w:r w:rsidRPr="00B77044">
        <w:rPr>
          <w:rFonts w:ascii="Times New Roman" w:hAnsi="Times New Roman" w:cs="Times New Roman"/>
          <w:sz w:val="20"/>
          <w:szCs w:val="20"/>
        </w:rPr>
        <w:instrText xml:space="preserve"> SEQ Gráfico \* ARABIC </w:instrText>
      </w:r>
      <w:r w:rsidRPr="00B77044">
        <w:rPr>
          <w:rFonts w:ascii="Times New Roman" w:hAnsi="Times New Roman" w:cs="Times New Roman"/>
          <w:sz w:val="20"/>
          <w:szCs w:val="20"/>
        </w:rPr>
        <w:fldChar w:fldCharType="separate"/>
      </w:r>
      <w:r w:rsidR="007F2CCB">
        <w:rPr>
          <w:rFonts w:ascii="Times New Roman" w:hAnsi="Times New Roman" w:cs="Times New Roman"/>
          <w:noProof/>
          <w:sz w:val="20"/>
          <w:szCs w:val="20"/>
        </w:rPr>
        <w:t>5</w:t>
      </w:r>
      <w:r w:rsidRPr="00B77044">
        <w:rPr>
          <w:rFonts w:ascii="Times New Roman" w:hAnsi="Times New Roman" w:cs="Times New Roman"/>
          <w:noProof/>
          <w:sz w:val="20"/>
          <w:szCs w:val="20"/>
        </w:rPr>
        <w:fldChar w:fldCharType="end"/>
      </w:r>
      <w:bookmarkEnd w:id="7"/>
      <w:r w:rsidRPr="00B77044">
        <w:rPr>
          <w:rFonts w:ascii="Times New Roman" w:hAnsi="Times New Roman" w:cs="Times New Roman"/>
          <w:sz w:val="20"/>
          <w:szCs w:val="20"/>
        </w:rPr>
        <w:t>: Dispersão dos índices na amostra analisada</w:t>
      </w:r>
    </w:p>
    <w:p w14:paraId="7A73654D" w14:textId="5209AAA0" w:rsidR="009C0634" w:rsidRPr="009C0634" w:rsidRDefault="009C0634" w:rsidP="00B77044">
      <w:pPr>
        <w:spacing w:after="0" w:line="360" w:lineRule="auto"/>
        <w:jc w:val="center"/>
        <w:rPr>
          <w:rFonts w:ascii="Times New Roman" w:hAnsi="Times New Roman"/>
          <w:noProof/>
          <w:sz w:val="24"/>
          <w:szCs w:val="24"/>
        </w:rPr>
      </w:pPr>
      <w:r w:rsidRPr="009C0634">
        <w:rPr>
          <w:rFonts w:ascii="Times New Roman" w:hAnsi="Times New Roman"/>
          <w:noProof/>
          <w:sz w:val="24"/>
          <w:szCs w:val="24"/>
        </w:rPr>
        <w:drawing>
          <wp:inline distT="0" distB="0" distL="0" distR="0" wp14:anchorId="57E38C4C" wp14:editId="4F8A2716">
            <wp:extent cx="4572000" cy="2743200"/>
            <wp:effectExtent l="0" t="0" r="0" b="0"/>
            <wp:docPr id="479503508" name="Gráfico 1">
              <a:extLst xmlns:a="http://schemas.openxmlformats.org/drawingml/2006/main">
                <a:ext uri="{FF2B5EF4-FFF2-40B4-BE49-F238E27FC236}">
                  <a16:creationId xmlns:a16="http://schemas.microsoft.com/office/drawing/2014/main" id="{FA148815-0486-DB83-79D2-F8929DB1D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D352FA" w14:textId="77777777" w:rsidR="00B77044" w:rsidRPr="00B77044" w:rsidRDefault="00B7704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t>Fonte: Dados da Pesquisa (2023)</w:t>
      </w:r>
    </w:p>
    <w:p w14:paraId="2DE1F8A6" w14:textId="77777777" w:rsidR="009C0634" w:rsidRPr="009C0634" w:rsidRDefault="009C0634" w:rsidP="009C0634">
      <w:pPr>
        <w:spacing w:after="0" w:line="360" w:lineRule="auto"/>
        <w:jc w:val="both"/>
        <w:rPr>
          <w:rFonts w:ascii="Times New Roman" w:hAnsi="Times New Roman"/>
          <w:noProof/>
          <w:sz w:val="24"/>
          <w:szCs w:val="24"/>
        </w:rPr>
      </w:pPr>
    </w:p>
    <w:p w14:paraId="14ECD3B9" w14:textId="3B68B4EE" w:rsidR="009C0634" w:rsidRDefault="009C0634" w:rsidP="009C0634">
      <w:pPr>
        <w:spacing w:after="0" w:line="360" w:lineRule="auto"/>
        <w:ind w:firstLine="708"/>
        <w:jc w:val="both"/>
        <w:rPr>
          <w:rFonts w:ascii="Times New Roman" w:hAnsi="Times New Roman"/>
          <w:sz w:val="24"/>
          <w:szCs w:val="24"/>
        </w:rPr>
      </w:pPr>
      <w:r w:rsidRPr="009C0634">
        <w:rPr>
          <w:rFonts w:ascii="Times New Roman" w:hAnsi="Times New Roman"/>
          <w:sz w:val="24"/>
          <w:szCs w:val="24"/>
        </w:rPr>
        <w:t>Os índices são dispersos (</w:t>
      </w:r>
      <w:r w:rsidRPr="009C0634">
        <w:rPr>
          <w:rFonts w:ascii="Times New Roman" w:hAnsi="Times New Roman"/>
          <w:sz w:val="24"/>
          <w:szCs w:val="24"/>
        </w:rPr>
        <w:fldChar w:fldCharType="begin"/>
      </w:r>
      <w:r w:rsidRPr="009C0634">
        <w:rPr>
          <w:rFonts w:ascii="Times New Roman" w:hAnsi="Times New Roman"/>
          <w:sz w:val="24"/>
          <w:szCs w:val="24"/>
        </w:rPr>
        <w:instrText xml:space="preserve"> REF _Ref145611812 \h  \* MERGEFORMAT </w:instrText>
      </w:r>
      <w:r w:rsidRPr="009C0634">
        <w:rPr>
          <w:rFonts w:ascii="Times New Roman" w:hAnsi="Times New Roman"/>
          <w:sz w:val="24"/>
          <w:szCs w:val="24"/>
        </w:rPr>
      </w:r>
      <w:r w:rsidRPr="009C0634">
        <w:rPr>
          <w:rFonts w:ascii="Times New Roman" w:hAnsi="Times New Roman"/>
          <w:sz w:val="24"/>
          <w:szCs w:val="24"/>
        </w:rPr>
        <w:fldChar w:fldCharType="separate"/>
      </w:r>
      <w:r w:rsidR="007F2CCB" w:rsidRPr="007F2CCB">
        <w:rPr>
          <w:rFonts w:ascii="Times New Roman" w:hAnsi="Times New Roman"/>
          <w:sz w:val="24"/>
          <w:szCs w:val="24"/>
        </w:rPr>
        <w:t xml:space="preserve">Gráfico </w:t>
      </w:r>
      <w:r w:rsidR="007F2CCB" w:rsidRPr="007F2CCB">
        <w:rPr>
          <w:rFonts w:ascii="Times New Roman" w:hAnsi="Times New Roman"/>
          <w:sz w:val="24"/>
          <w:szCs w:val="24"/>
        </w:rPr>
        <w:t>5</w:t>
      </w:r>
      <w:r w:rsidRPr="009C0634">
        <w:rPr>
          <w:rFonts w:ascii="Times New Roman" w:hAnsi="Times New Roman"/>
          <w:sz w:val="24"/>
          <w:szCs w:val="24"/>
        </w:rPr>
        <w:fldChar w:fldCharType="end"/>
      </w:r>
      <w:r w:rsidRPr="009C0634">
        <w:rPr>
          <w:rFonts w:ascii="Times New Roman" w:hAnsi="Times New Roman"/>
          <w:sz w:val="24"/>
          <w:szCs w:val="24"/>
        </w:rPr>
        <w:t xml:space="preserve">) entre os bancos, não demonstrando uma relação direta entre lucro líquido (ordem dos bancos) e índice de governança corporativa. </w:t>
      </w:r>
    </w:p>
    <w:p w14:paraId="6FD35AB0" w14:textId="77777777" w:rsidR="00B77044" w:rsidRPr="009C0634" w:rsidRDefault="00B77044" w:rsidP="009C0634">
      <w:pPr>
        <w:spacing w:after="0" w:line="360" w:lineRule="auto"/>
        <w:ind w:firstLine="708"/>
        <w:jc w:val="both"/>
        <w:rPr>
          <w:rFonts w:ascii="Times New Roman" w:hAnsi="Times New Roman"/>
          <w:sz w:val="24"/>
          <w:szCs w:val="24"/>
        </w:rPr>
      </w:pPr>
    </w:p>
    <w:p w14:paraId="5C83279D" w14:textId="38450092" w:rsidR="009C0634" w:rsidRPr="00B77044" w:rsidRDefault="009C0634" w:rsidP="00B77044">
      <w:pPr>
        <w:pStyle w:val="SemEspaamento"/>
        <w:jc w:val="center"/>
        <w:rPr>
          <w:rFonts w:ascii="Times New Roman" w:hAnsi="Times New Roman" w:cs="Times New Roman"/>
          <w:sz w:val="20"/>
          <w:szCs w:val="20"/>
        </w:rPr>
      </w:pPr>
      <w:bookmarkStart w:id="8" w:name="_Ref145613991"/>
      <w:r w:rsidRPr="00B77044">
        <w:rPr>
          <w:rFonts w:ascii="Times New Roman" w:hAnsi="Times New Roman" w:cs="Times New Roman"/>
          <w:sz w:val="20"/>
          <w:szCs w:val="20"/>
        </w:rPr>
        <w:t xml:space="preserve">Tabela </w:t>
      </w:r>
      <w:r w:rsidRPr="00B77044">
        <w:rPr>
          <w:rFonts w:ascii="Times New Roman" w:hAnsi="Times New Roman" w:cs="Times New Roman"/>
          <w:sz w:val="20"/>
          <w:szCs w:val="20"/>
        </w:rPr>
        <w:fldChar w:fldCharType="begin"/>
      </w:r>
      <w:r w:rsidRPr="00B77044">
        <w:rPr>
          <w:rFonts w:ascii="Times New Roman" w:hAnsi="Times New Roman" w:cs="Times New Roman"/>
          <w:sz w:val="20"/>
          <w:szCs w:val="20"/>
        </w:rPr>
        <w:instrText xml:space="preserve"> SEQ Tabela \* ARABIC </w:instrText>
      </w:r>
      <w:r w:rsidRPr="00B77044">
        <w:rPr>
          <w:rFonts w:ascii="Times New Roman" w:hAnsi="Times New Roman" w:cs="Times New Roman"/>
          <w:sz w:val="20"/>
          <w:szCs w:val="20"/>
        </w:rPr>
        <w:fldChar w:fldCharType="separate"/>
      </w:r>
      <w:r w:rsidR="007F2CCB">
        <w:rPr>
          <w:rFonts w:ascii="Times New Roman" w:hAnsi="Times New Roman" w:cs="Times New Roman"/>
          <w:noProof/>
          <w:sz w:val="20"/>
          <w:szCs w:val="20"/>
        </w:rPr>
        <w:t>1</w:t>
      </w:r>
      <w:r w:rsidRPr="00B77044">
        <w:rPr>
          <w:rFonts w:ascii="Times New Roman" w:hAnsi="Times New Roman" w:cs="Times New Roman"/>
          <w:noProof/>
          <w:sz w:val="20"/>
          <w:szCs w:val="20"/>
        </w:rPr>
        <w:fldChar w:fldCharType="end"/>
      </w:r>
      <w:bookmarkEnd w:id="8"/>
      <w:r w:rsidRPr="00B77044">
        <w:rPr>
          <w:rFonts w:ascii="Times New Roman" w:hAnsi="Times New Roman" w:cs="Times New Roman"/>
          <w:sz w:val="20"/>
          <w:szCs w:val="20"/>
        </w:rPr>
        <w:t xml:space="preserve"> : Estatísticas Descritiva da amostra analisada</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407"/>
        <w:gridCol w:w="1452"/>
        <w:gridCol w:w="1274"/>
        <w:gridCol w:w="2623"/>
      </w:tblGrid>
      <w:tr w:rsidR="009C0634" w:rsidRPr="00B77044" w14:paraId="22A5A15B" w14:textId="77777777" w:rsidTr="00B77044">
        <w:trPr>
          <w:trHeight w:val="300"/>
          <w:jc w:val="center"/>
        </w:trPr>
        <w:tc>
          <w:tcPr>
            <w:tcW w:w="1985" w:type="dxa"/>
            <w:vAlign w:val="center"/>
          </w:tcPr>
          <w:p w14:paraId="2E938FD9" w14:textId="77777777" w:rsidR="009C0634" w:rsidRPr="00B77044" w:rsidRDefault="009C0634" w:rsidP="00B77044">
            <w:pPr>
              <w:spacing w:after="0" w:line="240" w:lineRule="auto"/>
              <w:jc w:val="center"/>
              <w:rPr>
                <w:rFonts w:ascii="Times New Roman" w:eastAsia="Times New Roman" w:hAnsi="Times New Roman"/>
                <w:b/>
                <w:bCs/>
                <w:color w:val="000000"/>
                <w:sz w:val="20"/>
                <w:szCs w:val="20"/>
                <w:lang w:eastAsia="pt-BR"/>
              </w:rPr>
            </w:pPr>
            <w:r w:rsidRPr="00B77044">
              <w:rPr>
                <w:rFonts w:ascii="Times New Roman" w:eastAsia="Times New Roman" w:hAnsi="Times New Roman"/>
                <w:b/>
                <w:bCs/>
                <w:color w:val="000000"/>
                <w:sz w:val="20"/>
                <w:szCs w:val="20"/>
                <w:lang w:eastAsia="pt-BR"/>
              </w:rPr>
              <w:t>IGOV-Bancos</w:t>
            </w:r>
          </w:p>
        </w:tc>
        <w:tc>
          <w:tcPr>
            <w:tcW w:w="1407" w:type="dxa"/>
            <w:shd w:val="clear" w:color="auto" w:fill="auto"/>
            <w:noWrap/>
            <w:vAlign w:val="center"/>
            <w:hideMark/>
          </w:tcPr>
          <w:p w14:paraId="6E023B31" w14:textId="77777777" w:rsidR="009C0634" w:rsidRPr="00B77044" w:rsidRDefault="009C0634" w:rsidP="00B77044">
            <w:pPr>
              <w:spacing w:after="0" w:line="240" w:lineRule="auto"/>
              <w:jc w:val="center"/>
              <w:rPr>
                <w:rFonts w:ascii="Times New Roman" w:eastAsia="Times New Roman" w:hAnsi="Times New Roman"/>
                <w:b/>
                <w:bCs/>
                <w:color w:val="000000"/>
                <w:sz w:val="20"/>
                <w:szCs w:val="20"/>
                <w:lang w:eastAsia="pt-BR"/>
              </w:rPr>
            </w:pPr>
            <w:r w:rsidRPr="00B77044">
              <w:rPr>
                <w:rFonts w:ascii="Times New Roman" w:eastAsia="Times New Roman" w:hAnsi="Times New Roman"/>
                <w:b/>
                <w:bCs/>
                <w:color w:val="000000"/>
                <w:sz w:val="20"/>
                <w:szCs w:val="20"/>
                <w:lang w:eastAsia="pt-BR"/>
              </w:rPr>
              <w:t>Mínimo</w:t>
            </w:r>
          </w:p>
        </w:tc>
        <w:tc>
          <w:tcPr>
            <w:tcW w:w="1452" w:type="dxa"/>
            <w:shd w:val="clear" w:color="auto" w:fill="auto"/>
            <w:noWrap/>
            <w:vAlign w:val="center"/>
            <w:hideMark/>
          </w:tcPr>
          <w:p w14:paraId="66A5ABF4" w14:textId="77777777" w:rsidR="009C0634" w:rsidRPr="00B77044" w:rsidRDefault="009C0634" w:rsidP="00B77044">
            <w:pPr>
              <w:spacing w:after="0" w:line="240" w:lineRule="auto"/>
              <w:jc w:val="center"/>
              <w:rPr>
                <w:rFonts w:ascii="Times New Roman" w:eastAsia="Times New Roman" w:hAnsi="Times New Roman"/>
                <w:b/>
                <w:bCs/>
                <w:color w:val="000000"/>
                <w:sz w:val="20"/>
                <w:szCs w:val="20"/>
                <w:lang w:eastAsia="pt-BR"/>
              </w:rPr>
            </w:pPr>
            <w:r w:rsidRPr="00B77044">
              <w:rPr>
                <w:rFonts w:ascii="Times New Roman" w:eastAsia="Times New Roman" w:hAnsi="Times New Roman"/>
                <w:b/>
                <w:bCs/>
                <w:color w:val="000000"/>
                <w:sz w:val="20"/>
                <w:szCs w:val="20"/>
                <w:lang w:eastAsia="pt-BR"/>
              </w:rPr>
              <w:t>Máximo</w:t>
            </w:r>
          </w:p>
        </w:tc>
        <w:tc>
          <w:tcPr>
            <w:tcW w:w="1274" w:type="dxa"/>
            <w:shd w:val="clear" w:color="auto" w:fill="auto"/>
            <w:noWrap/>
            <w:vAlign w:val="center"/>
            <w:hideMark/>
          </w:tcPr>
          <w:p w14:paraId="7CC291DE" w14:textId="77777777" w:rsidR="009C0634" w:rsidRPr="00B77044" w:rsidRDefault="009C0634" w:rsidP="00B77044">
            <w:pPr>
              <w:spacing w:after="0" w:line="240" w:lineRule="auto"/>
              <w:jc w:val="center"/>
              <w:rPr>
                <w:rFonts w:ascii="Times New Roman" w:eastAsia="Times New Roman" w:hAnsi="Times New Roman"/>
                <w:b/>
                <w:bCs/>
                <w:color w:val="000000"/>
                <w:sz w:val="20"/>
                <w:szCs w:val="20"/>
                <w:lang w:eastAsia="pt-BR"/>
              </w:rPr>
            </w:pPr>
            <w:r w:rsidRPr="00B77044">
              <w:rPr>
                <w:rFonts w:ascii="Times New Roman" w:eastAsia="Times New Roman" w:hAnsi="Times New Roman"/>
                <w:b/>
                <w:bCs/>
                <w:color w:val="000000"/>
                <w:sz w:val="20"/>
                <w:szCs w:val="20"/>
                <w:lang w:eastAsia="pt-BR"/>
              </w:rPr>
              <w:t>Média</w:t>
            </w:r>
          </w:p>
        </w:tc>
        <w:tc>
          <w:tcPr>
            <w:tcW w:w="2623" w:type="dxa"/>
            <w:shd w:val="clear" w:color="auto" w:fill="auto"/>
            <w:noWrap/>
            <w:vAlign w:val="center"/>
            <w:hideMark/>
          </w:tcPr>
          <w:p w14:paraId="4F62F6DF" w14:textId="77777777" w:rsidR="009C0634" w:rsidRPr="00B77044" w:rsidRDefault="009C0634" w:rsidP="00B77044">
            <w:pPr>
              <w:spacing w:after="0" w:line="240" w:lineRule="auto"/>
              <w:jc w:val="center"/>
              <w:rPr>
                <w:rFonts w:ascii="Times New Roman" w:eastAsia="Times New Roman" w:hAnsi="Times New Roman"/>
                <w:b/>
                <w:bCs/>
                <w:color w:val="000000"/>
                <w:sz w:val="20"/>
                <w:szCs w:val="20"/>
                <w:lang w:eastAsia="pt-BR"/>
              </w:rPr>
            </w:pPr>
            <w:r w:rsidRPr="00B77044">
              <w:rPr>
                <w:rFonts w:ascii="Times New Roman" w:eastAsia="Times New Roman" w:hAnsi="Times New Roman"/>
                <w:b/>
                <w:bCs/>
                <w:color w:val="000000"/>
                <w:sz w:val="20"/>
                <w:szCs w:val="20"/>
                <w:lang w:eastAsia="pt-BR"/>
              </w:rPr>
              <w:t>Desvio Padrão Médio</w:t>
            </w:r>
          </w:p>
        </w:tc>
      </w:tr>
      <w:tr w:rsidR="009C0634" w:rsidRPr="00B77044" w14:paraId="57F40C72" w14:textId="77777777" w:rsidTr="00B77044">
        <w:trPr>
          <w:trHeight w:val="300"/>
          <w:jc w:val="center"/>
        </w:trPr>
        <w:tc>
          <w:tcPr>
            <w:tcW w:w="1985" w:type="dxa"/>
            <w:vAlign w:val="bottom"/>
          </w:tcPr>
          <w:p w14:paraId="472BD974"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hAnsi="Times New Roman"/>
                <w:color w:val="000000"/>
                <w:sz w:val="20"/>
                <w:szCs w:val="20"/>
              </w:rPr>
              <w:t>Voluntária</w:t>
            </w:r>
          </w:p>
        </w:tc>
        <w:tc>
          <w:tcPr>
            <w:tcW w:w="1407" w:type="dxa"/>
            <w:shd w:val="clear" w:color="auto" w:fill="auto"/>
            <w:noWrap/>
            <w:vAlign w:val="bottom"/>
            <w:hideMark/>
          </w:tcPr>
          <w:p w14:paraId="78421639"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1</w:t>
            </w:r>
          </w:p>
        </w:tc>
        <w:tc>
          <w:tcPr>
            <w:tcW w:w="1452" w:type="dxa"/>
            <w:shd w:val="clear" w:color="auto" w:fill="auto"/>
            <w:noWrap/>
            <w:vAlign w:val="bottom"/>
            <w:hideMark/>
          </w:tcPr>
          <w:p w14:paraId="1A5B75CE"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11</w:t>
            </w:r>
          </w:p>
        </w:tc>
        <w:tc>
          <w:tcPr>
            <w:tcW w:w="1274" w:type="dxa"/>
            <w:shd w:val="clear" w:color="auto" w:fill="auto"/>
            <w:noWrap/>
            <w:vAlign w:val="bottom"/>
            <w:hideMark/>
          </w:tcPr>
          <w:p w14:paraId="41C3254B"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6</w:t>
            </w:r>
          </w:p>
        </w:tc>
        <w:tc>
          <w:tcPr>
            <w:tcW w:w="2623" w:type="dxa"/>
            <w:shd w:val="clear" w:color="auto" w:fill="auto"/>
            <w:noWrap/>
            <w:vAlign w:val="bottom"/>
            <w:hideMark/>
          </w:tcPr>
          <w:p w14:paraId="767A96B1"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2</w:t>
            </w:r>
          </w:p>
        </w:tc>
      </w:tr>
      <w:tr w:rsidR="009C0634" w:rsidRPr="00B77044" w14:paraId="68531C1F" w14:textId="77777777" w:rsidTr="00B77044">
        <w:trPr>
          <w:trHeight w:val="300"/>
          <w:jc w:val="center"/>
        </w:trPr>
        <w:tc>
          <w:tcPr>
            <w:tcW w:w="1985" w:type="dxa"/>
            <w:vAlign w:val="bottom"/>
          </w:tcPr>
          <w:p w14:paraId="488E4CE7"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hAnsi="Times New Roman"/>
                <w:color w:val="000000"/>
                <w:sz w:val="20"/>
                <w:szCs w:val="20"/>
              </w:rPr>
              <w:t>Regulada</w:t>
            </w:r>
          </w:p>
        </w:tc>
        <w:tc>
          <w:tcPr>
            <w:tcW w:w="1407" w:type="dxa"/>
            <w:shd w:val="clear" w:color="auto" w:fill="auto"/>
            <w:noWrap/>
            <w:vAlign w:val="bottom"/>
            <w:hideMark/>
          </w:tcPr>
          <w:p w14:paraId="16290B71"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2</w:t>
            </w:r>
          </w:p>
        </w:tc>
        <w:tc>
          <w:tcPr>
            <w:tcW w:w="1452" w:type="dxa"/>
            <w:shd w:val="clear" w:color="auto" w:fill="auto"/>
            <w:noWrap/>
            <w:vAlign w:val="bottom"/>
            <w:hideMark/>
          </w:tcPr>
          <w:p w14:paraId="3FA8B981"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10</w:t>
            </w:r>
          </w:p>
        </w:tc>
        <w:tc>
          <w:tcPr>
            <w:tcW w:w="1274" w:type="dxa"/>
            <w:shd w:val="clear" w:color="auto" w:fill="auto"/>
            <w:noWrap/>
            <w:vAlign w:val="bottom"/>
            <w:hideMark/>
          </w:tcPr>
          <w:p w14:paraId="46E16055"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9</w:t>
            </w:r>
          </w:p>
        </w:tc>
        <w:tc>
          <w:tcPr>
            <w:tcW w:w="2623" w:type="dxa"/>
            <w:shd w:val="clear" w:color="auto" w:fill="auto"/>
            <w:noWrap/>
            <w:vAlign w:val="bottom"/>
            <w:hideMark/>
          </w:tcPr>
          <w:p w14:paraId="4F3967E2"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eastAsia="Times New Roman" w:hAnsi="Times New Roman"/>
                <w:color w:val="000000"/>
                <w:sz w:val="20"/>
                <w:szCs w:val="20"/>
                <w:lang w:eastAsia="pt-BR"/>
              </w:rPr>
              <w:t>1</w:t>
            </w:r>
          </w:p>
        </w:tc>
      </w:tr>
      <w:tr w:rsidR="009C0634" w:rsidRPr="00B77044" w14:paraId="5B29F3B9" w14:textId="77777777" w:rsidTr="00B77044">
        <w:trPr>
          <w:trHeight w:val="300"/>
          <w:jc w:val="center"/>
        </w:trPr>
        <w:tc>
          <w:tcPr>
            <w:tcW w:w="1985" w:type="dxa"/>
            <w:vAlign w:val="bottom"/>
          </w:tcPr>
          <w:p w14:paraId="576AB4FD" w14:textId="77777777" w:rsidR="009C0634" w:rsidRPr="00B77044" w:rsidRDefault="009C0634" w:rsidP="00B77044">
            <w:pPr>
              <w:spacing w:after="0" w:line="240" w:lineRule="auto"/>
              <w:jc w:val="center"/>
              <w:rPr>
                <w:rFonts w:ascii="Times New Roman" w:hAnsi="Times New Roman"/>
                <w:color w:val="000000"/>
                <w:sz w:val="20"/>
                <w:szCs w:val="20"/>
              </w:rPr>
            </w:pPr>
            <w:r w:rsidRPr="00B77044">
              <w:rPr>
                <w:rFonts w:ascii="Times New Roman" w:hAnsi="Times New Roman"/>
                <w:color w:val="000000"/>
                <w:sz w:val="20"/>
                <w:szCs w:val="20"/>
              </w:rPr>
              <w:t>Total</w:t>
            </w:r>
          </w:p>
        </w:tc>
        <w:tc>
          <w:tcPr>
            <w:tcW w:w="1407" w:type="dxa"/>
            <w:shd w:val="clear" w:color="auto" w:fill="auto"/>
            <w:noWrap/>
            <w:vAlign w:val="bottom"/>
          </w:tcPr>
          <w:p w14:paraId="33AE450C"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hAnsi="Times New Roman"/>
                <w:color w:val="000000"/>
                <w:sz w:val="20"/>
                <w:szCs w:val="20"/>
              </w:rPr>
              <w:t>3</w:t>
            </w:r>
          </w:p>
        </w:tc>
        <w:tc>
          <w:tcPr>
            <w:tcW w:w="1452" w:type="dxa"/>
            <w:shd w:val="clear" w:color="auto" w:fill="auto"/>
            <w:noWrap/>
            <w:vAlign w:val="bottom"/>
          </w:tcPr>
          <w:p w14:paraId="3F9BAFDB"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hAnsi="Times New Roman"/>
                <w:color w:val="000000"/>
                <w:sz w:val="20"/>
                <w:szCs w:val="20"/>
              </w:rPr>
              <w:t>21</w:t>
            </w:r>
          </w:p>
        </w:tc>
        <w:tc>
          <w:tcPr>
            <w:tcW w:w="1274" w:type="dxa"/>
            <w:shd w:val="clear" w:color="auto" w:fill="auto"/>
            <w:noWrap/>
            <w:vAlign w:val="bottom"/>
          </w:tcPr>
          <w:p w14:paraId="52B63DDF"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hAnsi="Times New Roman"/>
                <w:color w:val="000000"/>
                <w:sz w:val="20"/>
                <w:szCs w:val="20"/>
              </w:rPr>
              <w:t>15</w:t>
            </w:r>
          </w:p>
        </w:tc>
        <w:tc>
          <w:tcPr>
            <w:tcW w:w="2623" w:type="dxa"/>
            <w:shd w:val="clear" w:color="auto" w:fill="auto"/>
            <w:noWrap/>
            <w:vAlign w:val="bottom"/>
          </w:tcPr>
          <w:p w14:paraId="347081A2" w14:textId="77777777" w:rsidR="009C0634" w:rsidRPr="00B77044" w:rsidRDefault="009C0634" w:rsidP="00B77044">
            <w:pPr>
              <w:spacing w:after="0" w:line="240" w:lineRule="auto"/>
              <w:jc w:val="center"/>
              <w:rPr>
                <w:rFonts w:ascii="Times New Roman" w:eastAsia="Times New Roman" w:hAnsi="Times New Roman"/>
                <w:color w:val="000000"/>
                <w:sz w:val="20"/>
                <w:szCs w:val="20"/>
                <w:lang w:eastAsia="pt-BR"/>
              </w:rPr>
            </w:pPr>
            <w:r w:rsidRPr="00B77044">
              <w:rPr>
                <w:rFonts w:ascii="Times New Roman" w:hAnsi="Times New Roman"/>
                <w:color w:val="000000"/>
                <w:sz w:val="20"/>
                <w:szCs w:val="20"/>
              </w:rPr>
              <w:t>3</w:t>
            </w:r>
          </w:p>
        </w:tc>
      </w:tr>
    </w:tbl>
    <w:p w14:paraId="7377F22C" w14:textId="77777777" w:rsidR="009C0634" w:rsidRPr="00B77044" w:rsidRDefault="009C0634" w:rsidP="00B77044">
      <w:pPr>
        <w:pStyle w:val="SemEspaamento"/>
        <w:jc w:val="center"/>
        <w:rPr>
          <w:rFonts w:ascii="Times New Roman" w:hAnsi="Times New Roman" w:cs="Times New Roman"/>
          <w:sz w:val="20"/>
          <w:szCs w:val="20"/>
        </w:rPr>
      </w:pPr>
      <w:r w:rsidRPr="00B77044">
        <w:rPr>
          <w:rFonts w:ascii="Times New Roman" w:hAnsi="Times New Roman" w:cs="Times New Roman"/>
          <w:sz w:val="20"/>
          <w:szCs w:val="20"/>
        </w:rPr>
        <w:t>Fonte: Dados da Pesquisa (2023)</w:t>
      </w:r>
    </w:p>
    <w:p w14:paraId="5B926663" w14:textId="77777777" w:rsidR="009C0634" w:rsidRPr="009C0634" w:rsidRDefault="009C0634" w:rsidP="009C0634">
      <w:pPr>
        <w:spacing w:after="0" w:line="360" w:lineRule="auto"/>
        <w:ind w:firstLine="708"/>
        <w:jc w:val="both"/>
        <w:rPr>
          <w:rFonts w:ascii="Times New Roman" w:hAnsi="Times New Roman"/>
          <w:sz w:val="24"/>
          <w:szCs w:val="24"/>
        </w:rPr>
      </w:pPr>
    </w:p>
    <w:p w14:paraId="1A6ECD18" w14:textId="57A8517A"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A média geral do IGOV-Bancos geral 7 itens (7,14) no período 2015-2022 não está próxima do número de questões que são de apresentação obrigatória, reguladas pelo BACEN (10 questões), por exemplo, na </w:t>
      </w:r>
      <w:r w:rsidRPr="009C0634">
        <w:rPr>
          <w:rFonts w:ascii="Times New Roman" w:hAnsi="Times New Roman"/>
          <w:sz w:val="24"/>
          <w:szCs w:val="24"/>
        </w:rPr>
        <w:fldChar w:fldCharType="begin"/>
      </w:r>
      <w:r w:rsidRPr="009C0634">
        <w:rPr>
          <w:rFonts w:ascii="Times New Roman" w:hAnsi="Times New Roman"/>
          <w:sz w:val="24"/>
          <w:szCs w:val="24"/>
        </w:rPr>
        <w:instrText xml:space="preserve"> REF _Ref145613991 \h </w:instrText>
      </w:r>
      <w:r w:rsidRPr="009C0634">
        <w:rPr>
          <w:rFonts w:ascii="Times New Roman" w:hAnsi="Times New Roman"/>
          <w:sz w:val="24"/>
          <w:szCs w:val="24"/>
        </w:rPr>
      </w:r>
      <w:r w:rsidRPr="009C0634">
        <w:rPr>
          <w:rFonts w:ascii="Times New Roman" w:hAnsi="Times New Roman"/>
          <w:sz w:val="24"/>
          <w:szCs w:val="24"/>
        </w:rPr>
        <w:instrText xml:space="preserve"> \* MERGEFORMAT </w:instrText>
      </w:r>
      <w:r w:rsidRPr="009C0634">
        <w:rPr>
          <w:rFonts w:ascii="Times New Roman" w:hAnsi="Times New Roman"/>
          <w:sz w:val="24"/>
          <w:szCs w:val="24"/>
        </w:rPr>
        <w:fldChar w:fldCharType="separate"/>
      </w:r>
      <w:r w:rsidR="007F2CCB" w:rsidRPr="007F2CCB">
        <w:rPr>
          <w:rFonts w:ascii="Times New Roman" w:hAnsi="Times New Roman"/>
          <w:sz w:val="24"/>
          <w:szCs w:val="24"/>
        </w:rPr>
        <w:t xml:space="preserve">Tabela </w:t>
      </w:r>
      <w:r w:rsidR="007F2CCB" w:rsidRPr="007F2CCB">
        <w:rPr>
          <w:rFonts w:ascii="Times New Roman" w:hAnsi="Times New Roman"/>
          <w:noProof/>
          <w:sz w:val="24"/>
          <w:szCs w:val="24"/>
        </w:rPr>
        <w:t>1</w:t>
      </w:r>
      <w:r w:rsidRPr="009C0634">
        <w:rPr>
          <w:rFonts w:ascii="Times New Roman" w:hAnsi="Times New Roman"/>
          <w:sz w:val="24"/>
          <w:szCs w:val="24"/>
        </w:rPr>
        <w:fldChar w:fldCharType="end"/>
      </w:r>
      <w:r w:rsidRPr="009C0634">
        <w:rPr>
          <w:rFonts w:ascii="Times New Roman" w:hAnsi="Times New Roman"/>
          <w:sz w:val="24"/>
          <w:szCs w:val="24"/>
        </w:rPr>
        <w:t xml:space="preserve"> fica 6/19, perfazendo aproximadamente 32% de atendimento ou de alcance das </w:t>
      </w:r>
      <w:r w:rsidRPr="009C0634">
        <w:rPr>
          <w:rFonts w:ascii="Times New Roman" w:hAnsi="Times New Roman"/>
          <w:sz w:val="24"/>
          <w:szCs w:val="24"/>
        </w:rPr>
        <w:lastRenderedPageBreak/>
        <w:t xml:space="preserve">informações voluntárias, já o as informações reguladas seria 9/10, ficando em 90% de alcance ou atendimento. Esses dados, demonstram que os bancos ainda têm muito para melhorar quando se trata de divulgação de informações para a sociedade. O índice máximo foi de 21/29, o mínimo 3/29. </w:t>
      </w:r>
    </w:p>
    <w:p w14:paraId="0C617B30" w14:textId="77777777" w:rsidR="00B77044" w:rsidRDefault="00B77044" w:rsidP="009C0634">
      <w:pPr>
        <w:pStyle w:val="Ttulo2"/>
        <w:spacing w:before="0" w:line="360" w:lineRule="auto"/>
        <w:jc w:val="both"/>
        <w:rPr>
          <w:rFonts w:ascii="Times New Roman" w:hAnsi="Times New Roman" w:cs="Times New Roman"/>
          <w:sz w:val="24"/>
          <w:szCs w:val="24"/>
        </w:rPr>
      </w:pPr>
    </w:p>
    <w:p w14:paraId="27BEBF21" w14:textId="2C93CA74" w:rsidR="009C0634" w:rsidRPr="00B77044" w:rsidRDefault="00B77044" w:rsidP="009C0634">
      <w:pPr>
        <w:pStyle w:val="Ttulo2"/>
        <w:spacing w:before="0" w:line="360" w:lineRule="auto"/>
        <w:jc w:val="both"/>
        <w:rPr>
          <w:rFonts w:ascii="Times New Roman" w:hAnsi="Times New Roman" w:cs="Times New Roman"/>
          <w:color w:val="AF0FCB"/>
          <w:sz w:val="24"/>
          <w:szCs w:val="24"/>
        </w:rPr>
      </w:pPr>
      <w:r>
        <w:rPr>
          <w:rFonts w:ascii="Times New Roman" w:hAnsi="Times New Roman" w:cs="Times New Roman"/>
          <w:color w:val="AF0FCB"/>
          <w:sz w:val="24"/>
          <w:szCs w:val="24"/>
        </w:rPr>
        <w:t>5</w:t>
      </w:r>
      <w:r w:rsidRPr="00B77044">
        <w:rPr>
          <w:rFonts w:ascii="Times New Roman" w:hAnsi="Times New Roman" w:cs="Times New Roman"/>
          <w:color w:val="AF0FCB"/>
          <w:sz w:val="24"/>
          <w:szCs w:val="24"/>
        </w:rPr>
        <w:t>.3 ANÁLISE DOS RESULTADOS</w:t>
      </w:r>
    </w:p>
    <w:p w14:paraId="5BB70B4F"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Os resultados do estudo realizado por Korontai e Fonseca (2019), sobre a governança corporativa dos bancos brasileiros e sua relação com indicadores de desempenho e risco são muito esclarecedores e fornecem ideias relevantes para o setor financeiro. Destacou-se os principais resultados pesquisa: importância da governança corporativa no setor bancário; índice de governança específico para bancos (IGOV-BANCOS); regulamentação bancária e governança corporativa; impacto positivo no desempenho; redução do risco; riscos específicos. Em resumo, os resultados desta pesquisa fornecem evidências substanciais de que a governança corporativa desempenha um papel significativo no desempenho e na gestão de riscos das instituições financeiras, e que a regulamentação bancária não é suficiente por si só. Isso tem implicações importantes para os bancos, reguladores e stakeholders no setor financeiro, destacando a necessidade contínua de aprimorar as práticas de governança corporativa no setor bancário brasileiro.</w:t>
      </w:r>
    </w:p>
    <w:p w14:paraId="1839C9FE"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Comparando os resultados da estudos Korontai e Fonseca (2019) e a presente pesquisa sobre a governança corporativa no setor bancário brasileiro, é possível identificar algumas semelhanças e diferenças essenciais. Quanto as semelhanças em relação à: importância da governança corporativa; índices específicos de governança; associação positiva com o desempenho; impacto negativo no risco. Já as diferenças: Períodos de Análise; Amostras Diferentes; Resultados Sobre Regulamentação. Em síntese, ambos os estudos concordam sobre a importância da governança corporativa no setor bancário e sua influência no desempenho e no risco das instituições financeiras. No entanto, os diferentes períodos de análise, amostras e ênfases nos resultados relacionados à regulamentação destacam a evolução do cenário de governança corporativa no setor bancário brasileiro ao longo do tempo.</w:t>
      </w:r>
    </w:p>
    <w:p w14:paraId="7C06C526" w14:textId="77777777" w:rsidR="009C0634" w:rsidRPr="009C0634" w:rsidRDefault="009C0634" w:rsidP="009C0634">
      <w:pPr>
        <w:pStyle w:val="SemEspaamento"/>
        <w:spacing w:line="360" w:lineRule="auto"/>
        <w:jc w:val="both"/>
        <w:rPr>
          <w:rFonts w:ascii="Times New Roman" w:hAnsi="Times New Roman" w:cs="Times New Roman"/>
          <w:sz w:val="24"/>
          <w:szCs w:val="24"/>
        </w:rPr>
      </w:pPr>
    </w:p>
    <w:p w14:paraId="2AC645A2" w14:textId="12230DE0" w:rsidR="009C0634" w:rsidRPr="00B77044" w:rsidRDefault="00B77044" w:rsidP="009C0634">
      <w:pPr>
        <w:pStyle w:val="Ttulo1"/>
        <w:spacing w:before="0" w:line="360" w:lineRule="auto"/>
        <w:jc w:val="both"/>
        <w:rPr>
          <w:rFonts w:ascii="Times New Roman" w:hAnsi="Times New Roman" w:cs="Times New Roman"/>
          <w:b/>
          <w:bCs/>
          <w:color w:val="AF0FCB"/>
          <w:sz w:val="24"/>
          <w:szCs w:val="24"/>
        </w:rPr>
      </w:pPr>
      <w:r w:rsidRPr="00B77044">
        <w:rPr>
          <w:rFonts w:ascii="Times New Roman" w:hAnsi="Times New Roman" w:cs="Times New Roman"/>
          <w:b/>
          <w:bCs/>
          <w:color w:val="AF0FCB"/>
          <w:sz w:val="24"/>
          <w:szCs w:val="24"/>
        </w:rPr>
        <w:t xml:space="preserve">6 </w:t>
      </w:r>
      <w:r w:rsidR="009C0634" w:rsidRPr="00B77044">
        <w:rPr>
          <w:rFonts w:ascii="Times New Roman" w:hAnsi="Times New Roman" w:cs="Times New Roman"/>
          <w:b/>
          <w:bCs/>
          <w:color w:val="AF0FCB"/>
          <w:sz w:val="24"/>
          <w:szCs w:val="24"/>
        </w:rPr>
        <w:t>CONSIDERAÇÕES FINAIS</w:t>
      </w:r>
    </w:p>
    <w:p w14:paraId="136A1106"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Como conclusão, este estudo analisou a influência das regulamentações sobre a governança corporativa das instituições financeiras no Brasil. Os resultados demonstraram que a relação entre a governança corporativa e o desempenho e risco bancário não é linear e varia entre as instituições. Embora haja uma clara importância da governança corporativa no setor bancário, as práticas e o nível de conformidade ainda têm espaço para melhorias.</w:t>
      </w:r>
    </w:p>
    <w:p w14:paraId="671BDD5B"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 xml:space="preserve">Em relação ao problema de pesquisa “Quais critérios da Governança Corporativa, de alguma forma, influenciam o desempenho e o risco das instituições financeiras brasileiras?” Foi desenvolvido um índice de governança corporativa específico para bancos, o IGOV-Bancos, que revelou uma média geral de 7/29, </w:t>
      </w:r>
      <w:r w:rsidRPr="009C0634">
        <w:rPr>
          <w:rFonts w:ascii="Times New Roman" w:hAnsi="Times New Roman"/>
          <w:sz w:val="24"/>
          <w:szCs w:val="24"/>
        </w:rPr>
        <w:lastRenderedPageBreak/>
        <w:t>abaixo do número de questões de apresentação regulatória obrigatória (10 questões). Isso destaca a necessidade de maior divulgação de informações por parte das instituições financeiras para melhorar a transparência e a conformidade.</w:t>
      </w:r>
    </w:p>
    <w:p w14:paraId="3307E585"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Já quanto aos objetivo geral de “avaliar o grau de adesão das instituições financeiras às normas e regulamentações do setor bancário”, isso pode ajudar a entender como essas regulamentações afetam suas práticas de governança. Quanto aos objetivos específicos, (i) a pesquisa procurou analisar informações publicamente disponíveis, como demonstrações financeiras e outros relatórios, para identificar como as instituições divulgam informações relevantes sobre governança corporativa, como conselhos administrativos, gestão de risco, auditorias e estruturas de controle; (ii) que visou medir o grau de governança corporativa nas instituições financeiras e determinar como essa governança se relaciona com variáveis-chave, como risco e desempenho.</w:t>
      </w:r>
    </w:p>
    <w:p w14:paraId="50FCE3A6"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Além disso, os resultados destacaram que a regulamentação bancária, por si só, não é suficiente para garantir uma governança corporativa eficaz. A cultura organizacional, o comprometimento da alta administração e fatores externos também desempenham papéis importantes na implementação eficaz das regulamentações.</w:t>
      </w:r>
    </w:p>
    <w:p w14:paraId="10B64A53"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A principal limitação está na disponibilidade dos dados e quando se tem o dado está disperso, não sendo possível aplicar instrumentais estatísticos robustos para aferição.</w:t>
      </w:r>
    </w:p>
    <w:p w14:paraId="3C4DFEA9" w14:textId="77777777" w:rsidR="009C0634" w:rsidRPr="009C0634" w:rsidRDefault="009C0634" w:rsidP="00B77044">
      <w:pPr>
        <w:spacing w:after="0" w:line="360" w:lineRule="auto"/>
        <w:ind w:firstLine="709"/>
        <w:jc w:val="both"/>
        <w:rPr>
          <w:rFonts w:ascii="Times New Roman" w:hAnsi="Times New Roman"/>
          <w:sz w:val="24"/>
          <w:szCs w:val="24"/>
        </w:rPr>
      </w:pPr>
      <w:r w:rsidRPr="009C0634">
        <w:rPr>
          <w:rFonts w:ascii="Times New Roman" w:hAnsi="Times New Roman"/>
          <w:sz w:val="24"/>
          <w:szCs w:val="24"/>
        </w:rPr>
        <w:t>A pesquisa fornece evidências convincentes de que a governança corporativa desempenha um papel crucial no setor bancário brasileiro. Além disso, destaca a necessidade contínua de aprimorar as práticas de governança e de encontrar um equilíbrio adequado entre regulamentação e governança interna nas instituições financeiras. Isso é essencial para promover a estabilidade financeira e proteger os interesses de todas as partes envolvidas no setor bancário.</w:t>
      </w:r>
    </w:p>
    <w:p w14:paraId="172F6F31" w14:textId="77777777" w:rsidR="009C0634" w:rsidRDefault="009C0634" w:rsidP="009C0634">
      <w:pPr>
        <w:pStyle w:val="SemEspaamento"/>
        <w:rPr>
          <w:sz w:val="24"/>
        </w:rPr>
      </w:pPr>
    </w:p>
    <w:p w14:paraId="1E05EC22" w14:textId="77777777" w:rsidR="00B77044" w:rsidRDefault="00B77044">
      <w:pPr>
        <w:rPr>
          <w:rFonts w:asciiTheme="majorHAnsi" w:eastAsiaTheme="majorEastAsia" w:hAnsiTheme="majorHAnsi" w:cstheme="majorBidi"/>
          <w:color w:val="2F5496" w:themeColor="accent1" w:themeShade="BF"/>
          <w:sz w:val="32"/>
          <w:szCs w:val="32"/>
        </w:rPr>
      </w:pPr>
      <w:r>
        <w:br w:type="page"/>
      </w:r>
    </w:p>
    <w:p w14:paraId="11C95D75" w14:textId="02CD6E1C" w:rsidR="009C0634" w:rsidRPr="00B77044" w:rsidRDefault="009C0634" w:rsidP="00B77044">
      <w:pPr>
        <w:pStyle w:val="Ttulo1"/>
        <w:spacing w:before="0" w:line="240" w:lineRule="auto"/>
        <w:jc w:val="center"/>
        <w:rPr>
          <w:rFonts w:ascii="Times New Roman" w:hAnsi="Times New Roman" w:cs="Times New Roman"/>
          <w:b/>
          <w:bCs/>
          <w:color w:val="AF0FCB"/>
          <w:sz w:val="24"/>
          <w:szCs w:val="24"/>
        </w:rPr>
      </w:pPr>
      <w:r w:rsidRPr="00B77044">
        <w:rPr>
          <w:rFonts w:ascii="Times New Roman" w:hAnsi="Times New Roman" w:cs="Times New Roman"/>
          <w:b/>
          <w:bCs/>
          <w:color w:val="AF0FCB"/>
          <w:sz w:val="24"/>
          <w:szCs w:val="24"/>
        </w:rPr>
        <w:lastRenderedPageBreak/>
        <w:t>REFERÊNCIAS</w:t>
      </w:r>
    </w:p>
    <w:p w14:paraId="40225FA5" w14:textId="77777777" w:rsidR="00B77044" w:rsidRPr="00B77044" w:rsidRDefault="00B77044" w:rsidP="00B77044">
      <w:pPr>
        <w:spacing w:after="0"/>
      </w:pPr>
    </w:p>
    <w:p w14:paraId="7512FCE2"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ANTONELLI, R. A.; PORTULHAK, H.; SCHERER, L. M.; CLEMENTE, A. Impacto da Adesão aos Níveis Diferenciados de Governança Corporativa da BM&amp;FBovespa no Risco de Companhias Reguladas. </w:t>
      </w:r>
      <w:r w:rsidRPr="00B77044">
        <w:rPr>
          <w:rStyle w:val="Forte"/>
          <w:rFonts w:ascii="Times New Roman" w:hAnsi="Times New Roman" w:cs="Times New Roman"/>
          <w:b w:val="0"/>
          <w:bCs w:val="0"/>
          <w:sz w:val="24"/>
          <w:bdr w:val="none" w:sz="0" w:space="0" w:color="auto" w:frame="1"/>
        </w:rPr>
        <w:t>Revista de Contabilidade do Mestrado em Ciências Contábeis da UERJ</w:t>
      </w:r>
      <w:r w:rsidRPr="00B77044">
        <w:rPr>
          <w:rFonts w:ascii="Times New Roman" w:hAnsi="Times New Roman" w:cs="Times New Roman"/>
          <w:sz w:val="24"/>
        </w:rPr>
        <w:t>, v. 23, n. 2, p. 92-109, 2018. Disponível em:  Acesso 18 Ago 2023.</w:t>
      </w:r>
    </w:p>
    <w:p w14:paraId="3FA34A69" w14:textId="77777777" w:rsidR="00B77044" w:rsidRPr="00B77044" w:rsidRDefault="00B77044" w:rsidP="00B77044">
      <w:pPr>
        <w:pStyle w:val="ReferenciasTCC"/>
        <w:spacing w:after="0"/>
        <w:jc w:val="both"/>
        <w:rPr>
          <w:rFonts w:ascii="Times New Roman" w:hAnsi="Times New Roman" w:cs="Times New Roman"/>
          <w:sz w:val="24"/>
        </w:rPr>
      </w:pPr>
    </w:p>
    <w:p w14:paraId="747C70D2"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ARANTES, P. P. M.; PEIXOTO, F. M.; CARVALHO, L.; MALAQUIAS, F. F. O. Cultural Determinants of Corporate Governance: A Multi-Country Study. </w:t>
      </w:r>
      <w:r w:rsidRPr="00B77044">
        <w:rPr>
          <w:rStyle w:val="Forte"/>
          <w:rFonts w:ascii="Times New Roman" w:hAnsi="Times New Roman" w:cs="Times New Roman"/>
          <w:b w:val="0"/>
          <w:bCs w:val="0"/>
          <w:sz w:val="24"/>
          <w:bdr w:val="none" w:sz="0" w:space="0" w:color="auto" w:frame="1"/>
        </w:rPr>
        <w:t>InternexT - Revista Eletrônica de Negócios Internacionais da ESPM</w:t>
      </w:r>
      <w:r w:rsidRPr="00B77044">
        <w:rPr>
          <w:rFonts w:ascii="Times New Roman" w:hAnsi="Times New Roman" w:cs="Times New Roman"/>
          <w:sz w:val="24"/>
        </w:rPr>
        <w:t>, v. 15, n. 2, p. 56-71, 2020. Disponível em: http://www.spell.org.br/documentos/download/57422. Acesso 18 Ago 2023.</w:t>
      </w:r>
    </w:p>
    <w:p w14:paraId="6E336896" w14:textId="77777777" w:rsidR="00B77044" w:rsidRPr="00B77044" w:rsidRDefault="00B77044" w:rsidP="00B77044">
      <w:pPr>
        <w:pStyle w:val="ReferenciasTCC"/>
        <w:spacing w:after="0"/>
        <w:jc w:val="both"/>
        <w:rPr>
          <w:rFonts w:ascii="Times New Roman" w:hAnsi="Times New Roman" w:cs="Times New Roman"/>
          <w:sz w:val="24"/>
        </w:rPr>
      </w:pPr>
    </w:p>
    <w:p w14:paraId="650118E8" w14:textId="77777777" w:rsidR="009C0634" w:rsidRDefault="009C0634" w:rsidP="00B77044">
      <w:pPr>
        <w:pStyle w:val="ReferenciasTCC"/>
        <w:spacing w:after="0"/>
        <w:jc w:val="both"/>
        <w:rPr>
          <w:rFonts w:ascii="Times New Roman" w:hAnsi="Times New Roman" w:cs="Times New Roman"/>
          <w:sz w:val="24"/>
          <w:shd w:val="clear" w:color="auto" w:fill="FFFFFF"/>
        </w:rPr>
      </w:pPr>
      <w:r w:rsidRPr="00B77044">
        <w:rPr>
          <w:rFonts w:ascii="Times New Roman" w:hAnsi="Times New Roman" w:cs="Times New Roman"/>
          <w:sz w:val="24"/>
          <w:shd w:val="clear" w:color="auto" w:fill="FFFFFF"/>
        </w:rPr>
        <w:t xml:space="preserve"> BANZAS, M. S. Governança corporativa no setor bancário: evolução recente no mercado brasileiro. Dissertação (mestrado em administração). Instituto coppead de administração, Universidade Federal do Rio de Janeiro, 2005.</w:t>
      </w:r>
    </w:p>
    <w:p w14:paraId="4B4BCF6E" w14:textId="77777777" w:rsidR="00B77044" w:rsidRPr="00B77044" w:rsidRDefault="00B77044" w:rsidP="00B77044">
      <w:pPr>
        <w:pStyle w:val="ReferenciasTCC"/>
        <w:spacing w:after="0"/>
        <w:jc w:val="both"/>
        <w:rPr>
          <w:rFonts w:ascii="Times New Roman" w:hAnsi="Times New Roman" w:cs="Times New Roman"/>
          <w:sz w:val="24"/>
          <w:shd w:val="clear" w:color="auto" w:fill="FFFFFF"/>
        </w:rPr>
      </w:pPr>
    </w:p>
    <w:p w14:paraId="7625566B" w14:textId="77777777" w:rsidR="009C0634" w:rsidRDefault="009C0634" w:rsidP="00B77044">
      <w:pPr>
        <w:pStyle w:val="ReferenciasTCC"/>
        <w:spacing w:after="0"/>
        <w:jc w:val="both"/>
        <w:rPr>
          <w:rFonts w:ascii="Times New Roman" w:hAnsi="Times New Roman" w:cs="Times New Roman"/>
          <w:sz w:val="24"/>
        </w:rPr>
      </w:pPr>
      <w:bookmarkStart w:id="9" w:name="_Hlk145244663"/>
      <w:r w:rsidRPr="00B77044">
        <w:rPr>
          <w:rFonts w:ascii="Times New Roman" w:hAnsi="Times New Roman" w:cs="Times New Roman"/>
          <w:sz w:val="24"/>
          <w:lang w:val="en-US"/>
        </w:rPr>
        <w:t>BERLE, Adolf Augustus; MEANS, Gardiner Coit. </w:t>
      </w:r>
      <w:r w:rsidRPr="00B77044">
        <w:rPr>
          <w:rStyle w:val="Forte"/>
          <w:rFonts w:ascii="Times New Roman" w:hAnsi="Times New Roman" w:cs="Times New Roman"/>
          <w:b w:val="0"/>
          <w:bCs w:val="0"/>
          <w:sz w:val="24"/>
        </w:rPr>
        <w:t>A Moderna Sociedade Anônima e a Propriedade Privada</w:t>
      </w:r>
      <w:r w:rsidRPr="00B77044">
        <w:rPr>
          <w:rFonts w:ascii="Times New Roman" w:hAnsi="Times New Roman" w:cs="Times New Roman"/>
          <w:sz w:val="24"/>
        </w:rPr>
        <w:t>. São Paulo: Abril Cultural, 1932.</w:t>
      </w:r>
    </w:p>
    <w:p w14:paraId="58763EE0" w14:textId="77777777" w:rsidR="00B77044" w:rsidRPr="00B77044" w:rsidRDefault="00B77044" w:rsidP="00B77044">
      <w:pPr>
        <w:pStyle w:val="ReferenciasTCC"/>
        <w:spacing w:after="0"/>
        <w:jc w:val="both"/>
        <w:rPr>
          <w:rFonts w:ascii="Times New Roman" w:hAnsi="Times New Roman" w:cs="Times New Roman"/>
          <w:sz w:val="24"/>
        </w:rPr>
      </w:pPr>
    </w:p>
    <w:bookmarkEnd w:id="9"/>
    <w:p w14:paraId="1171346B"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CARNEIRO, Reinaldo Busch Alves. Divulgação de informações sobre instrumentos financeiros e riscos bancários: uma análise comparativa. 2009. Dissertação (Mestrado em Controladoria e Contabilidade: Contabilidade) - Faculdade de Economia, Administração e Contabilidade, University of São Paulo, São Paulo, 2009. doi:10.11606/D.12.2009.tde-27032009-124526. Acesso em: 2023-08-19.</w:t>
      </w:r>
    </w:p>
    <w:p w14:paraId="01F917DB" w14:textId="77777777" w:rsidR="00B77044" w:rsidRPr="00B77044" w:rsidRDefault="00B77044" w:rsidP="00B77044">
      <w:pPr>
        <w:pStyle w:val="ReferenciasTCC"/>
        <w:spacing w:after="0"/>
        <w:jc w:val="both"/>
        <w:rPr>
          <w:rFonts w:ascii="Times New Roman" w:hAnsi="Times New Roman" w:cs="Times New Roman"/>
          <w:sz w:val="24"/>
        </w:rPr>
      </w:pPr>
    </w:p>
    <w:p w14:paraId="3EF4B5ED"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Cepiku, D. (2005). Governance: riferimento concettuale o ambiguità terminologica nei processi di innovazione della PA? Azienda Pubblica, v. 18, n. 1, p. 105-131.</w:t>
      </w:r>
    </w:p>
    <w:p w14:paraId="28F3BA3E" w14:textId="77777777" w:rsidR="00B77044" w:rsidRPr="00B77044" w:rsidRDefault="00B77044" w:rsidP="00B77044">
      <w:pPr>
        <w:pStyle w:val="ReferenciasTCC"/>
        <w:spacing w:after="0"/>
        <w:jc w:val="both"/>
        <w:rPr>
          <w:rFonts w:ascii="Times New Roman" w:hAnsi="Times New Roman" w:cs="Times New Roman"/>
          <w:sz w:val="24"/>
        </w:rPr>
      </w:pPr>
    </w:p>
    <w:p w14:paraId="4CF422C2"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CORSO, R. L.; ECKERT, A.; POMPERMAYER, R. A relação entre Governança Corporativa e Empreendedorismo Corporativo: Uma Análise bibliométrica. </w:t>
      </w:r>
      <w:r w:rsidRPr="00B77044">
        <w:rPr>
          <w:rStyle w:val="Forte"/>
          <w:rFonts w:ascii="Times New Roman" w:hAnsi="Times New Roman" w:cs="Times New Roman"/>
          <w:b w:val="0"/>
          <w:bCs w:val="0"/>
          <w:sz w:val="24"/>
          <w:bdr w:val="none" w:sz="0" w:space="0" w:color="auto" w:frame="1"/>
        </w:rPr>
        <w:t>Revista Metropolitana de Governança Corporativa</w:t>
      </w:r>
      <w:r w:rsidRPr="00B77044">
        <w:rPr>
          <w:rFonts w:ascii="Times New Roman" w:hAnsi="Times New Roman" w:cs="Times New Roman"/>
          <w:sz w:val="24"/>
        </w:rPr>
        <w:t>, v. 5, n. 2, p. 28-46, 2020. Disponível em: http://www.spell.org.br/documentos/download/60403. Acesso 18 Ago 2023.</w:t>
      </w:r>
    </w:p>
    <w:p w14:paraId="19357F12" w14:textId="77777777" w:rsidR="00B77044" w:rsidRPr="00B77044" w:rsidRDefault="00B77044" w:rsidP="00B77044">
      <w:pPr>
        <w:pStyle w:val="ReferenciasTCC"/>
        <w:spacing w:after="0"/>
        <w:jc w:val="both"/>
        <w:rPr>
          <w:rFonts w:ascii="Times New Roman" w:hAnsi="Times New Roman" w:cs="Times New Roman"/>
          <w:sz w:val="24"/>
        </w:rPr>
      </w:pPr>
    </w:p>
    <w:p w14:paraId="4CE64843" w14:textId="77777777" w:rsidR="009C0634" w:rsidRDefault="009C0634" w:rsidP="00B77044">
      <w:pPr>
        <w:pStyle w:val="ReferenciasTCC"/>
        <w:spacing w:after="0"/>
        <w:jc w:val="both"/>
        <w:rPr>
          <w:rFonts w:ascii="Times New Roman" w:hAnsi="Times New Roman" w:cs="Times New Roman"/>
          <w:sz w:val="24"/>
          <w:shd w:val="clear" w:color="auto" w:fill="FFFFFF"/>
        </w:rPr>
      </w:pPr>
      <w:r w:rsidRPr="00B77044">
        <w:rPr>
          <w:rFonts w:ascii="Times New Roman" w:hAnsi="Times New Roman" w:cs="Times New Roman"/>
          <w:sz w:val="24"/>
          <w:shd w:val="clear" w:color="auto" w:fill="FFFFFF"/>
        </w:rPr>
        <w:t>COSTA, T. A.; FAMÁ, R.; SANTOS, J. O. Serão as boas práticas de governança corporativa complemento ou substituto da regulamentação imposta à indústria bancária? In: Seminários em Administração (SEMEAD), 10º, 2007, São Paulo. Anais do 10º Seminário em Administração. São Paulo: FEA/USP, 2007.</w:t>
      </w:r>
    </w:p>
    <w:p w14:paraId="47616406" w14:textId="77777777" w:rsidR="00B77044" w:rsidRPr="00B77044" w:rsidRDefault="00B77044" w:rsidP="00B77044">
      <w:pPr>
        <w:pStyle w:val="ReferenciasTCC"/>
        <w:spacing w:after="0"/>
        <w:jc w:val="both"/>
        <w:rPr>
          <w:rFonts w:ascii="Times New Roman" w:hAnsi="Times New Roman" w:cs="Times New Roman"/>
          <w:sz w:val="24"/>
          <w:shd w:val="clear" w:color="auto" w:fill="FFFFFF"/>
        </w:rPr>
      </w:pPr>
    </w:p>
    <w:p w14:paraId="396F1FBC" w14:textId="77777777" w:rsidR="009C0634" w:rsidRPr="00B7704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Couto, R. M. (2018). Governança nas instituições de ensino superior: análise dos mecanismos de governança na Universidade Federal de Santa Catarina à luz do modelo multilevel governance. Dissertação (mestrado) - Universidade Federal de Santa Catarina, Centro Tecnológico, Programa de Pós-Graduação em Engenharia e Gestão do Conhecimento, Florianópolis.</w:t>
      </w:r>
    </w:p>
    <w:p w14:paraId="772150A0"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br/>
        <w:t>ECKERT, A.; CORSO, R. L.; BERTOLLO, D. L.; POMPERMAYER, R.; NEPOMUCENO, M. P. Z. Governança corporativa, gestão e competitividade: estudo de caso múltiplo em empresas familiares. </w:t>
      </w:r>
      <w:r w:rsidRPr="00B77044">
        <w:rPr>
          <w:rStyle w:val="Forte"/>
          <w:rFonts w:ascii="Times New Roman" w:hAnsi="Times New Roman" w:cs="Times New Roman"/>
          <w:b w:val="0"/>
          <w:bCs w:val="0"/>
          <w:sz w:val="24"/>
          <w:bdr w:val="none" w:sz="0" w:space="0" w:color="auto" w:frame="1"/>
        </w:rPr>
        <w:t>Revista de Gestão e Secretariado</w:t>
      </w:r>
      <w:r w:rsidRPr="00B77044">
        <w:rPr>
          <w:rFonts w:ascii="Times New Roman" w:hAnsi="Times New Roman" w:cs="Times New Roman"/>
          <w:sz w:val="24"/>
        </w:rPr>
        <w:t>, v. 14, n. 2, p. 1327-1349, 2023.Disponível em: http://www.spell.org.br/documentos/download/70498. Acesso 18 Ago 2023.</w:t>
      </w:r>
    </w:p>
    <w:p w14:paraId="09E5DDD3" w14:textId="77777777" w:rsidR="00B77044" w:rsidRPr="00B77044" w:rsidRDefault="00B77044" w:rsidP="00B77044">
      <w:pPr>
        <w:pStyle w:val="ReferenciasTCC"/>
        <w:spacing w:after="0"/>
        <w:jc w:val="both"/>
        <w:rPr>
          <w:rFonts w:ascii="Times New Roman" w:hAnsi="Times New Roman" w:cs="Times New Roman"/>
          <w:sz w:val="24"/>
        </w:rPr>
      </w:pPr>
    </w:p>
    <w:p w14:paraId="541F0874" w14:textId="77777777" w:rsidR="009C0634" w:rsidRDefault="009C0634" w:rsidP="00B77044">
      <w:pPr>
        <w:pStyle w:val="ReferenciasTCC"/>
        <w:spacing w:after="0"/>
        <w:jc w:val="both"/>
        <w:rPr>
          <w:rFonts w:ascii="Times New Roman" w:hAnsi="Times New Roman" w:cs="Times New Roman"/>
          <w:sz w:val="24"/>
          <w:lang w:val="en-US"/>
        </w:rPr>
      </w:pPr>
      <w:r w:rsidRPr="00B77044">
        <w:rPr>
          <w:rFonts w:ascii="Times New Roman" w:hAnsi="Times New Roman" w:cs="Times New Roman"/>
          <w:sz w:val="24"/>
        </w:rPr>
        <w:t>ECKERT, A.; SILVA, G. B.; BEM, D. D.; SCHLINDWEIN, C. E. Comparativo entre práticas de governança corporativa brasileiras e norte-americanas. </w:t>
      </w:r>
      <w:r w:rsidRPr="00B77044">
        <w:rPr>
          <w:rStyle w:val="Forte"/>
          <w:rFonts w:ascii="Times New Roman" w:hAnsi="Times New Roman" w:cs="Times New Roman"/>
          <w:b w:val="0"/>
          <w:bCs w:val="0"/>
          <w:sz w:val="24"/>
          <w:bdr w:val="none" w:sz="0" w:space="0" w:color="auto" w:frame="1"/>
        </w:rPr>
        <w:t>Revista de Governança Corporativa</w:t>
      </w:r>
      <w:r w:rsidRPr="00B77044">
        <w:rPr>
          <w:rFonts w:ascii="Times New Roman" w:hAnsi="Times New Roman" w:cs="Times New Roman"/>
          <w:sz w:val="24"/>
        </w:rPr>
        <w:t xml:space="preserve">, v. 9, n. 1, p. 0-0, 2022.  Disponível em: https://rgc.org.br/Journals/article/view/70/80. </w:t>
      </w:r>
      <w:r w:rsidRPr="00B77044">
        <w:rPr>
          <w:rFonts w:ascii="Times New Roman" w:hAnsi="Times New Roman" w:cs="Times New Roman"/>
          <w:sz w:val="24"/>
          <w:lang w:val="en-US"/>
        </w:rPr>
        <w:t>Acesso 18 Ago 2023.</w:t>
      </w:r>
    </w:p>
    <w:p w14:paraId="6CE3BCAC" w14:textId="77777777" w:rsidR="00B77044" w:rsidRPr="00B77044" w:rsidRDefault="00B77044" w:rsidP="00B77044">
      <w:pPr>
        <w:pStyle w:val="ReferenciasTCC"/>
        <w:spacing w:after="0"/>
        <w:jc w:val="both"/>
        <w:rPr>
          <w:rFonts w:ascii="Times New Roman" w:hAnsi="Times New Roman" w:cs="Times New Roman"/>
          <w:sz w:val="24"/>
          <w:lang w:val="en-US"/>
        </w:rPr>
      </w:pPr>
    </w:p>
    <w:p w14:paraId="45942D92" w14:textId="77777777" w:rsidR="009C0634" w:rsidRDefault="009C0634" w:rsidP="00B77044">
      <w:pPr>
        <w:pStyle w:val="ReferenciasTCC"/>
        <w:spacing w:after="0"/>
        <w:jc w:val="both"/>
        <w:rPr>
          <w:rFonts w:ascii="Times New Roman" w:hAnsi="Times New Roman" w:cs="Times New Roman"/>
          <w:sz w:val="24"/>
          <w:lang w:val="en-US"/>
        </w:rPr>
      </w:pPr>
      <w:r w:rsidRPr="00B77044">
        <w:rPr>
          <w:rFonts w:ascii="Times New Roman" w:hAnsi="Times New Roman" w:cs="Times New Roman"/>
          <w:sz w:val="24"/>
          <w:lang w:val="en-US"/>
        </w:rPr>
        <w:lastRenderedPageBreak/>
        <w:t xml:space="preserve">FREEMAN, Robert Edward. A Stakeholder Theory of the Modern Corporation. In The Corporation and Its Stakeholders (pp. 125–138). </w:t>
      </w:r>
      <w:hyperlink r:id="rId13" w:history="1">
        <w:r w:rsidRPr="00B77044">
          <w:rPr>
            <w:rFonts w:ascii="Times New Roman" w:hAnsi="Times New Roman" w:cs="Times New Roman"/>
            <w:sz w:val="24"/>
            <w:lang w:val="en-US"/>
          </w:rPr>
          <w:t>https://doi.org/10.3138/9781442673496-009</w:t>
        </w:r>
      </w:hyperlink>
      <w:r w:rsidRPr="00B77044">
        <w:rPr>
          <w:rFonts w:ascii="Times New Roman" w:hAnsi="Times New Roman" w:cs="Times New Roman"/>
          <w:sz w:val="24"/>
          <w:lang w:val="en-US"/>
        </w:rPr>
        <w:t>.</w:t>
      </w:r>
    </w:p>
    <w:p w14:paraId="1CA94DCB" w14:textId="77777777" w:rsidR="00B77044" w:rsidRPr="00B77044" w:rsidRDefault="00B77044" w:rsidP="00B77044">
      <w:pPr>
        <w:pStyle w:val="ReferenciasTCC"/>
        <w:spacing w:after="0"/>
        <w:jc w:val="both"/>
        <w:rPr>
          <w:rFonts w:ascii="Times New Roman" w:hAnsi="Times New Roman" w:cs="Times New Roman"/>
          <w:sz w:val="24"/>
          <w:lang w:val="en-US"/>
        </w:rPr>
      </w:pPr>
    </w:p>
    <w:p w14:paraId="60A5154D"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 xml:space="preserve">FREITAS, V. A.; FONTES FILHO, J. R. A Função de Auditoria Interna na Governança Corporativa de Bancos no Brasil: Agente de Controle ou Instrumento de Legitimidade Organizacional? </w:t>
      </w:r>
      <w:r w:rsidRPr="00B77044">
        <w:rPr>
          <w:rStyle w:val="Forte"/>
          <w:rFonts w:ascii="Times New Roman" w:hAnsi="Times New Roman" w:cs="Times New Roman"/>
          <w:b w:val="0"/>
          <w:bCs w:val="0"/>
          <w:sz w:val="24"/>
          <w:bdr w:val="none" w:sz="0" w:space="0" w:color="auto" w:frame="1"/>
        </w:rPr>
        <w:t>Contabilidade Vista &amp; Revista</w:t>
      </w:r>
      <w:r w:rsidRPr="00B77044">
        <w:rPr>
          <w:rFonts w:ascii="Times New Roman" w:hAnsi="Times New Roman" w:cs="Times New Roman"/>
          <w:sz w:val="24"/>
        </w:rPr>
        <w:t>, v. 29, n. 3, p. 73-101, 2018.Disponível em: http://www.spell.org.br/documentos/download/52917. Acesso 18 Ago 2023.</w:t>
      </w:r>
    </w:p>
    <w:p w14:paraId="53568669" w14:textId="77777777" w:rsidR="00B77044" w:rsidRPr="00B77044" w:rsidRDefault="00B77044" w:rsidP="00B77044">
      <w:pPr>
        <w:pStyle w:val="ReferenciasTCC"/>
        <w:spacing w:after="0"/>
        <w:jc w:val="both"/>
        <w:rPr>
          <w:rFonts w:ascii="Times New Roman" w:hAnsi="Times New Roman" w:cs="Times New Roman"/>
          <w:sz w:val="24"/>
        </w:rPr>
      </w:pPr>
    </w:p>
    <w:p w14:paraId="382F0DF4"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GERMANO, M. M.  A. O impacto das ações de gestão nos modelos de terceirização de Tecnologia da Informação no controle de gestão das organizações: uma revisão sistemática. 2019. 103 f. Dissertação (Mestrado em Controle de Gestão) - Universidade do Estado do Rio de Janeiro, Rio de Janeiro, 2019.Disponível em: https://www.bdtd.uerj.br:8443/bitstream/1/8053/1/dissertacao_michele_mariz.pdf. Acesso 18 Ago 2023.</w:t>
      </w:r>
    </w:p>
    <w:p w14:paraId="7EC9129C" w14:textId="77777777" w:rsidR="00B77044" w:rsidRPr="00B77044" w:rsidRDefault="00B77044" w:rsidP="00B77044">
      <w:pPr>
        <w:pStyle w:val="ReferenciasTCC"/>
        <w:spacing w:after="0"/>
        <w:jc w:val="both"/>
        <w:rPr>
          <w:rFonts w:ascii="Times New Roman" w:hAnsi="Times New Roman" w:cs="Times New Roman"/>
          <w:sz w:val="24"/>
        </w:rPr>
      </w:pPr>
    </w:p>
    <w:p w14:paraId="00372176" w14:textId="77777777" w:rsidR="009C0634" w:rsidRPr="00B7704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IBGC - INSTITUTO BRASILEIRO DE GOVERNANÇA CORPORATIVA (Brasil). IBGC Código. </w:t>
      </w:r>
      <w:r w:rsidRPr="00B77044">
        <w:rPr>
          <w:rStyle w:val="Forte"/>
          <w:rFonts w:ascii="Times New Roman" w:hAnsi="Times New Roman" w:cs="Times New Roman"/>
          <w:b w:val="0"/>
          <w:bCs w:val="0"/>
          <w:sz w:val="24"/>
        </w:rPr>
        <w:t>Código das melhores práticas de governança corporativa</w:t>
      </w:r>
      <w:r w:rsidRPr="00B77044">
        <w:rPr>
          <w:rFonts w:ascii="Times New Roman" w:hAnsi="Times New Roman" w:cs="Times New Roman"/>
          <w:sz w:val="24"/>
        </w:rPr>
        <w:t>. 6. ed. São Paulo: IBGC, 2023.</w:t>
      </w:r>
    </w:p>
    <w:p w14:paraId="5E0B5AD9" w14:textId="77777777" w:rsidR="009C0634" w:rsidRDefault="009C0634" w:rsidP="00B77044">
      <w:pPr>
        <w:pStyle w:val="ReferenciasTCC"/>
        <w:spacing w:after="0"/>
        <w:jc w:val="both"/>
        <w:rPr>
          <w:rFonts w:ascii="Times New Roman" w:hAnsi="Times New Roman" w:cs="Times New Roman"/>
          <w:sz w:val="24"/>
          <w:lang w:val="en-US"/>
        </w:rPr>
      </w:pPr>
      <w:r w:rsidRPr="00B77044">
        <w:rPr>
          <w:rFonts w:ascii="Times New Roman" w:hAnsi="Times New Roman" w:cs="Times New Roman"/>
          <w:sz w:val="24"/>
        </w:rPr>
        <w:br/>
        <w:t>JÁCOME, M. A. R.; PAIVA, S. B.; MARTINS, O. S. Regulação Econômico-Financeira como Propulsora de Práticas de Governança Corporativa na Saúde Suplementar. </w:t>
      </w:r>
      <w:r w:rsidRPr="00B77044">
        <w:rPr>
          <w:rStyle w:val="Forte"/>
          <w:rFonts w:ascii="Times New Roman" w:hAnsi="Times New Roman" w:cs="Times New Roman"/>
          <w:b w:val="0"/>
          <w:bCs w:val="0"/>
          <w:sz w:val="24"/>
          <w:bdr w:val="none" w:sz="0" w:space="0" w:color="auto" w:frame="1"/>
        </w:rPr>
        <w:t>Pensamento &amp; Realidade</w:t>
      </w:r>
      <w:r w:rsidRPr="00B77044">
        <w:rPr>
          <w:rFonts w:ascii="Times New Roman" w:hAnsi="Times New Roman" w:cs="Times New Roman"/>
          <w:sz w:val="24"/>
        </w:rPr>
        <w:t xml:space="preserve">, v. 35, n. 1, p. 99-111, 2020. Disponível em: http://www.spell.org.br/documentos/download/62055. </w:t>
      </w:r>
      <w:r w:rsidRPr="00B77044">
        <w:rPr>
          <w:rFonts w:ascii="Times New Roman" w:hAnsi="Times New Roman" w:cs="Times New Roman"/>
          <w:sz w:val="24"/>
          <w:lang w:val="en-US"/>
        </w:rPr>
        <w:t>Acesso 18 Ago 2023.</w:t>
      </w:r>
    </w:p>
    <w:p w14:paraId="483077BF" w14:textId="77777777" w:rsidR="00B77044" w:rsidRPr="00B77044" w:rsidRDefault="00B77044" w:rsidP="00B77044">
      <w:pPr>
        <w:pStyle w:val="ReferenciasTCC"/>
        <w:spacing w:after="0"/>
        <w:jc w:val="both"/>
        <w:rPr>
          <w:rFonts w:ascii="Times New Roman" w:hAnsi="Times New Roman" w:cs="Times New Roman"/>
          <w:sz w:val="24"/>
          <w:lang w:val="en-US"/>
        </w:rPr>
      </w:pPr>
    </w:p>
    <w:p w14:paraId="74A90C66" w14:textId="77777777" w:rsidR="009C0634" w:rsidRDefault="009C0634" w:rsidP="00B77044">
      <w:pPr>
        <w:pStyle w:val="ReferenciasTCC"/>
        <w:spacing w:after="0"/>
        <w:jc w:val="both"/>
        <w:rPr>
          <w:rFonts w:ascii="Times New Roman" w:hAnsi="Times New Roman" w:cs="Times New Roman"/>
          <w:sz w:val="24"/>
          <w:shd w:val="clear" w:color="auto" w:fill="FFFFFF"/>
          <w:lang w:val="en-US"/>
        </w:rPr>
      </w:pPr>
      <w:r w:rsidRPr="00B77044">
        <w:rPr>
          <w:rFonts w:ascii="Times New Roman" w:hAnsi="Times New Roman" w:cs="Times New Roman"/>
          <w:sz w:val="24"/>
          <w:shd w:val="clear" w:color="auto" w:fill="FFFFFF"/>
          <w:lang w:val="en-US"/>
        </w:rPr>
        <w:t>JOHN, K., DE MASI, S., PACI, A. Corporate Governance in Banks. Corporate Governance: An International Review, 24(3), 303-321, 2016.</w:t>
      </w:r>
    </w:p>
    <w:p w14:paraId="5DF135AB" w14:textId="77777777" w:rsidR="00B77044" w:rsidRPr="00B77044" w:rsidRDefault="00B77044" w:rsidP="00B77044">
      <w:pPr>
        <w:pStyle w:val="ReferenciasTCC"/>
        <w:spacing w:after="0"/>
        <w:jc w:val="both"/>
        <w:rPr>
          <w:rFonts w:ascii="Times New Roman" w:hAnsi="Times New Roman" w:cs="Times New Roman"/>
          <w:sz w:val="24"/>
          <w:shd w:val="clear" w:color="auto" w:fill="FFFFFF"/>
          <w:lang w:val="en-US"/>
        </w:rPr>
      </w:pPr>
    </w:p>
    <w:p w14:paraId="144D9DEB"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KOPROWSKI, S.; MAZZIONI, S.; MAGRO, C. B. D.; KREIN, V. Governança Corporativa e Conexões Políticas nas Práticas Anticorrupção. </w:t>
      </w:r>
      <w:r w:rsidRPr="00B77044">
        <w:rPr>
          <w:rStyle w:val="Forte"/>
          <w:rFonts w:ascii="Times New Roman" w:hAnsi="Times New Roman" w:cs="Times New Roman"/>
          <w:b w:val="0"/>
          <w:bCs w:val="0"/>
          <w:sz w:val="24"/>
          <w:bdr w:val="none" w:sz="0" w:space="0" w:color="auto" w:frame="1"/>
        </w:rPr>
        <w:t>Revista de Administração de Empresas</w:t>
      </w:r>
      <w:r w:rsidRPr="00B77044">
        <w:rPr>
          <w:rFonts w:ascii="Times New Roman" w:hAnsi="Times New Roman" w:cs="Times New Roman"/>
          <w:sz w:val="24"/>
        </w:rPr>
        <w:t>, v. 61, n. 2, p. 1-14, 2021. Disponível em: http://www.spell.org.br/documentos/download/61845. Acesso 18 Ago 2023.</w:t>
      </w:r>
    </w:p>
    <w:p w14:paraId="133D17A8" w14:textId="77777777" w:rsidR="00B77044" w:rsidRPr="00B77044" w:rsidRDefault="00B77044" w:rsidP="00B77044">
      <w:pPr>
        <w:pStyle w:val="ReferenciasTCC"/>
        <w:spacing w:after="0"/>
        <w:jc w:val="both"/>
        <w:rPr>
          <w:rFonts w:ascii="Times New Roman" w:hAnsi="Times New Roman" w:cs="Times New Roman"/>
          <w:sz w:val="24"/>
        </w:rPr>
      </w:pPr>
    </w:p>
    <w:p w14:paraId="00AFF367"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KORONTAI, J. N.; FONSECA, M. W. Governança Corporativa dos Bancos e sua Relação com Indicadores de Desempenho e Risco. </w:t>
      </w:r>
      <w:r w:rsidRPr="00B77044">
        <w:rPr>
          <w:rStyle w:val="Forte"/>
          <w:rFonts w:ascii="Times New Roman" w:hAnsi="Times New Roman" w:cs="Times New Roman"/>
          <w:b w:val="0"/>
          <w:bCs w:val="0"/>
          <w:sz w:val="24"/>
          <w:bdr w:val="none" w:sz="0" w:space="0" w:color="auto" w:frame="1"/>
        </w:rPr>
        <w:t>Enfoque Reflexão Contábil</w:t>
      </w:r>
      <w:r w:rsidRPr="00B77044">
        <w:rPr>
          <w:rFonts w:ascii="Times New Roman" w:hAnsi="Times New Roman" w:cs="Times New Roman"/>
          <w:sz w:val="24"/>
        </w:rPr>
        <w:t>, v. 39, n. 3, p. 151-168, 2020. Disponível em: http://www.spell.org.br/documentos/download/59796. Acesso 18 Ago 2023.</w:t>
      </w:r>
    </w:p>
    <w:p w14:paraId="789B5349" w14:textId="77777777" w:rsidR="00B77044" w:rsidRPr="00B77044" w:rsidRDefault="00B77044" w:rsidP="00B77044">
      <w:pPr>
        <w:pStyle w:val="ReferenciasTCC"/>
        <w:spacing w:after="0"/>
        <w:jc w:val="both"/>
        <w:rPr>
          <w:rFonts w:ascii="Times New Roman" w:hAnsi="Times New Roman" w:cs="Times New Roman"/>
          <w:sz w:val="24"/>
        </w:rPr>
      </w:pPr>
    </w:p>
    <w:p w14:paraId="79195E47"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KUNIYOSHI, M. S.; CARRILLO, A. Governança corporativa: um estudo sobre o apoio da alta administração ao programa de integridade, em consonância com a lei n.º 12.846/2013 na Companhia de Saneamento Básico do Estado de São Paulo - SABESP. </w:t>
      </w:r>
      <w:r w:rsidRPr="00B77044">
        <w:rPr>
          <w:rStyle w:val="Forte"/>
          <w:rFonts w:ascii="Times New Roman" w:hAnsi="Times New Roman" w:cs="Times New Roman"/>
          <w:b w:val="0"/>
          <w:bCs w:val="0"/>
          <w:sz w:val="24"/>
          <w:bdr w:val="none" w:sz="0" w:space="0" w:color="auto" w:frame="1"/>
        </w:rPr>
        <w:t>Pensamento &amp; Realidade</w:t>
      </w:r>
      <w:r w:rsidRPr="00B77044">
        <w:rPr>
          <w:rFonts w:ascii="Times New Roman" w:hAnsi="Times New Roman" w:cs="Times New Roman"/>
          <w:sz w:val="24"/>
        </w:rPr>
        <w:t>, v. 36, n. 1, p. 90-110, 2021. Disponível em: http://www.spell.org.br/documentos/download/66100. Acesso 18 Ago 2023.</w:t>
      </w:r>
    </w:p>
    <w:p w14:paraId="4D3154E2" w14:textId="77777777" w:rsidR="00B77044" w:rsidRPr="00B77044" w:rsidRDefault="00B77044" w:rsidP="00B77044">
      <w:pPr>
        <w:pStyle w:val="ReferenciasTCC"/>
        <w:spacing w:after="0"/>
        <w:jc w:val="both"/>
        <w:rPr>
          <w:rFonts w:ascii="Times New Roman" w:hAnsi="Times New Roman" w:cs="Times New Roman"/>
          <w:sz w:val="24"/>
        </w:rPr>
      </w:pPr>
    </w:p>
    <w:p w14:paraId="5D42BBE9" w14:textId="77777777" w:rsidR="009C0634" w:rsidRPr="00B7704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LETHBRIDG, E. Governança Corporativa. Revista do BNDS, Rio de Janeiro, v. 4, n. 8, p. 209-231, 1997.</w:t>
      </w:r>
    </w:p>
    <w:p w14:paraId="642FB13C"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LINS, R. F.; BRUNO-FARIA, M. F. Governança Corporativa nas Empresas Brasileiras de Edificações e Construção Pesada. </w:t>
      </w:r>
      <w:r w:rsidRPr="00B77044">
        <w:rPr>
          <w:rStyle w:val="Forte"/>
          <w:rFonts w:ascii="Times New Roman" w:hAnsi="Times New Roman" w:cs="Times New Roman"/>
          <w:b w:val="0"/>
          <w:bCs w:val="0"/>
          <w:sz w:val="24"/>
          <w:bdr w:val="none" w:sz="0" w:space="0" w:color="auto" w:frame="1"/>
        </w:rPr>
        <w:t>Revista de Administração IMED</w:t>
      </w:r>
      <w:r w:rsidRPr="00B77044">
        <w:rPr>
          <w:rFonts w:ascii="Times New Roman" w:hAnsi="Times New Roman" w:cs="Times New Roman"/>
          <w:sz w:val="24"/>
        </w:rPr>
        <w:t>, v. 8, n. 1, p. 237-258, 2018. Disponível em: http://www.spell.org.br/documentos/download/50724. Acesso 18 Ago 2023.</w:t>
      </w:r>
    </w:p>
    <w:p w14:paraId="1D06DEBE" w14:textId="77777777" w:rsidR="00B77044" w:rsidRPr="00B77044" w:rsidRDefault="00B77044" w:rsidP="00B77044">
      <w:pPr>
        <w:pStyle w:val="ReferenciasTCC"/>
        <w:spacing w:after="0"/>
        <w:jc w:val="both"/>
        <w:rPr>
          <w:rFonts w:ascii="Times New Roman" w:hAnsi="Times New Roman" w:cs="Times New Roman"/>
          <w:sz w:val="24"/>
        </w:rPr>
      </w:pPr>
    </w:p>
    <w:p w14:paraId="14AF319A"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LOPES, A. F.; CORREIA, T. S. Impacto da Governança Corporativa no Disclosure de Passivos Contingentes de Empresas Abertas. </w:t>
      </w:r>
      <w:r w:rsidRPr="00B77044">
        <w:rPr>
          <w:rStyle w:val="Forte"/>
          <w:rFonts w:ascii="Times New Roman" w:hAnsi="Times New Roman" w:cs="Times New Roman"/>
          <w:b w:val="0"/>
          <w:bCs w:val="0"/>
          <w:sz w:val="24"/>
          <w:bdr w:val="none" w:sz="0" w:space="0" w:color="auto" w:frame="1"/>
        </w:rPr>
        <w:t>Contexto - Revista do Programa de Pós-Graduação em Controladoria e Contabilidade da UFRGS</w:t>
      </w:r>
      <w:r w:rsidRPr="00B77044">
        <w:rPr>
          <w:rFonts w:ascii="Times New Roman" w:hAnsi="Times New Roman" w:cs="Times New Roman"/>
          <w:sz w:val="24"/>
        </w:rPr>
        <w:t>, v. 21, n. 48, p. 1-15, 2021. Disponível em: http://www.spell.org.br/documentos/download/63532. Acesso 18 Ago 2023.</w:t>
      </w:r>
    </w:p>
    <w:p w14:paraId="16542E3E" w14:textId="77777777" w:rsidR="00B77044" w:rsidRPr="00B77044" w:rsidRDefault="00B77044" w:rsidP="00B77044">
      <w:pPr>
        <w:pStyle w:val="ReferenciasTCC"/>
        <w:spacing w:after="0"/>
        <w:jc w:val="both"/>
        <w:rPr>
          <w:rFonts w:ascii="Times New Roman" w:hAnsi="Times New Roman" w:cs="Times New Roman"/>
          <w:sz w:val="24"/>
        </w:rPr>
      </w:pPr>
    </w:p>
    <w:p w14:paraId="200E9C84" w14:textId="77777777" w:rsidR="009C0634" w:rsidRDefault="009C0634" w:rsidP="00B77044">
      <w:pPr>
        <w:pStyle w:val="ReferenciasTCC"/>
        <w:spacing w:after="0"/>
        <w:jc w:val="both"/>
        <w:rPr>
          <w:rFonts w:ascii="Times New Roman" w:hAnsi="Times New Roman" w:cs="Times New Roman"/>
          <w:sz w:val="24"/>
          <w:lang w:val="en-US"/>
        </w:rPr>
      </w:pPr>
      <w:r w:rsidRPr="00B77044">
        <w:rPr>
          <w:rFonts w:ascii="Times New Roman" w:hAnsi="Times New Roman" w:cs="Times New Roman"/>
          <w:sz w:val="24"/>
        </w:rPr>
        <w:t>LUCIANI, L. P. B.; CAMARGO, F. A.; SILVA, D. D.; DUARTE, C. C. Práticas de governança corporativa como instrumento de gestão ao profissional de secretariado executivo. </w:t>
      </w:r>
      <w:r w:rsidRPr="00B77044">
        <w:rPr>
          <w:rStyle w:val="Forte"/>
          <w:rFonts w:ascii="Times New Roman" w:hAnsi="Times New Roman" w:cs="Times New Roman"/>
          <w:b w:val="0"/>
          <w:bCs w:val="0"/>
          <w:sz w:val="24"/>
          <w:bdr w:val="none" w:sz="0" w:space="0" w:color="auto" w:frame="1"/>
        </w:rPr>
        <w:t xml:space="preserve">Revista Capital Científico - </w:t>
      </w:r>
      <w:r w:rsidRPr="00B77044">
        <w:rPr>
          <w:rStyle w:val="Forte"/>
          <w:rFonts w:ascii="Times New Roman" w:hAnsi="Times New Roman" w:cs="Times New Roman"/>
          <w:b w:val="0"/>
          <w:bCs w:val="0"/>
          <w:sz w:val="24"/>
          <w:bdr w:val="none" w:sz="0" w:space="0" w:color="auto" w:frame="1"/>
        </w:rPr>
        <w:lastRenderedPageBreak/>
        <w:t>Eletrônica</w:t>
      </w:r>
      <w:r w:rsidRPr="00B77044">
        <w:rPr>
          <w:rFonts w:ascii="Times New Roman" w:hAnsi="Times New Roman" w:cs="Times New Roman"/>
          <w:sz w:val="24"/>
        </w:rPr>
        <w:t xml:space="preserve">, v. 19, n. 4, p. 109-125, 2021. Disponível em: http://www.spell.org.br/documentos/download/65404. </w:t>
      </w:r>
      <w:r w:rsidRPr="00B77044">
        <w:rPr>
          <w:rFonts w:ascii="Times New Roman" w:hAnsi="Times New Roman" w:cs="Times New Roman"/>
          <w:sz w:val="24"/>
          <w:lang w:val="en-US"/>
        </w:rPr>
        <w:t>Acesso 18 Ago 2023.</w:t>
      </w:r>
    </w:p>
    <w:p w14:paraId="349003E6" w14:textId="77777777" w:rsidR="00B77044" w:rsidRPr="00B77044" w:rsidRDefault="00B77044" w:rsidP="00B77044">
      <w:pPr>
        <w:pStyle w:val="ReferenciasTCC"/>
        <w:spacing w:after="0"/>
        <w:jc w:val="both"/>
        <w:rPr>
          <w:rFonts w:ascii="Times New Roman" w:hAnsi="Times New Roman" w:cs="Times New Roman"/>
          <w:sz w:val="24"/>
          <w:lang w:val="en-US"/>
        </w:rPr>
      </w:pPr>
    </w:p>
    <w:p w14:paraId="6B9736F0"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lang w:val="en-US"/>
        </w:rPr>
        <w:t>LUGOBONI, L. F.; CORRÊA, H. L.; CHIARETO, J.; ARAUJO, J. A. O. Management Systems By Performance Indicators Of Higher Education Institutions: Proposal Of A Model. </w:t>
      </w:r>
      <w:r w:rsidRPr="00B77044">
        <w:rPr>
          <w:rStyle w:val="Forte"/>
          <w:rFonts w:ascii="Times New Roman" w:hAnsi="Times New Roman" w:cs="Times New Roman"/>
          <w:b w:val="0"/>
          <w:bCs w:val="0"/>
          <w:sz w:val="24"/>
          <w:bdr w:val="none" w:sz="0" w:space="0" w:color="auto" w:frame="1"/>
        </w:rPr>
        <w:t>Revista de Administração da UFSM</w:t>
      </w:r>
      <w:r w:rsidRPr="00B77044">
        <w:rPr>
          <w:rFonts w:ascii="Times New Roman" w:hAnsi="Times New Roman" w:cs="Times New Roman"/>
          <w:sz w:val="24"/>
        </w:rPr>
        <w:t>, v. 14, n. 3, p. 655-673, 2021.Disponível em: http://www.spell.org.br/documentos/download/63967. Acesso 18 Ago 2023.</w:t>
      </w:r>
    </w:p>
    <w:p w14:paraId="547C494B" w14:textId="77777777" w:rsidR="00B77044" w:rsidRPr="00B77044" w:rsidRDefault="00B77044" w:rsidP="00B77044">
      <w:pPr>
        <w:pStyle w:val="ReferenciasTCC"/>
        <w:spacing w:after="0"/>
        <w:jc w:val="both"/>
        <w:rPr>
          <w:rFonts w:ascii="Times New Roman" w:hAnsi="Times New Roman" w:cs="Times New Roman"/>
          <w:sz w:val="24"/>
        </w:rPr>
      </w:pPr>
    </w:p>
    <w:p w14:paraId="23237DDD"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MANCHINERI, W. S. C. S.; ALVES, C. A. M. Características de governança em cooperativas agropecuárias: estudo baseado em práticas recomendadas pelo Instituto Brasileiro de Governança Corporativa. </w:t>
      </w:r>
      <w:r w:rsidRPr="00B77044">
        <w:rPr>
          <w:rStyle w:val="Forte"/>
          <w:rFonts w:ascii="Times New Roman" w:hAnsi="Times New Roman" w:cs="Times New Roman"/>
          <w:b w:val="0"/>
          <w:bCs w:val="0"/>
          <w:sz w:val="24"/>
          <w:bdr w:val="none" w:sz="0" w:space="0" w:color="auto" w:frame="1"/>
        </w:rPr>
        <w:t>GESTÃO.Org - Revista Eletrônica de Gestão Organizacional</w:t>
      </w:r>
      <w:r w:rsidRPr="00B77044">
        <w:rPr>
          <w:rFonts w:ascii="Times New Roman" w:hAnsi="Times New Roman" w:cs="Times New Roman"/>
          <w:sz w:val="24"/>
        </w:rPr>
        <w:t>, v. 20, n. 1, p. 1-16, 2022.  Disponível em: http://www.spell.org.br/documentos/download/69776. Acesso 18 Ago 2023.</w:t>
      </w:r>
    </w:p>
    <w:p w14:paraId="18E7D94D" w14:textId="77777777" w:rsidR="00B77044" w:rsidRPr="00B77044" w:rsidRDefault="00B77044" w:rsidP="00B77044">
      <w:pPr>
        <w:pStyle w:val="ReferenciasTCC"/>
        <w:spacing w:after="0"/>
        <w:jc w:val="both"/>
        <w:rPr>
          <w:rFonts w:ascii="Times New Roman" w:hAnsi="Times New Roman" w:cs="Times New Roman"/>
          <w:sz w:val="24"/>
        </w:rPr>
      </w:pPr>
    </w:p>
    <w:p w14:paraId="23A057AF"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MARCASSA, Ana Cecília. Mecanismos de Governança Corporativa em Bancos. São Paulo, SP: BACEN, 2000.</w:t>
      </w:r>
    </w:p>
    <w:p w14:paraId="2B24A3DE" w14:textId="77777777" w:rsidR="00B77044" w:rsidRPr="00B77044" w:rsidRDefault="00B77044" w:rsidP="00B77044">
      <w:pPr>
        <w:pStyle w:val="ReferenciasTCC"/>
        <w:spacing w:after="0"/>
        <w:jc w:val="both"/>
        <w:rPr>
          <w:rFonts w:ascii="Times New Roman" w:hAnsi="Times New Roman" w:cs="Times New Roman"/>
          <w:sz w:val="24"/>
        </w:rPr>
      </w:pPr>
    </w:p>
    <w:p w14:paraId="5950AA97"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Meneguzzo, M. (1995). Dal new public management alla public governance: il pendolo della ricerca sulla amministrazione pubblica. Azienda Pubblica, n. 1</w:t>
      </w:r>
    </w:p>
    <w:p w14:paraId="586A5C61" w14:textId="77777777" w:rsidR="00B77044" w:rsidRPr="00B77044" w:rsidRDefault="00B77044" w:rsidP="00B77044">
      <w:pPr>
        <w:pStyle w:val="ReferenciasTCC"/>
        <w:spacing w:after="0"/>
        <w:jc w:val="both"/>
        <w:rPr>
          <w:rFonts w:ascii="Times New Roman" w:hAnsi="Times New Roman" w:cs="Times New Roman"/>
          <w:sz w:val="24"/>
        </w:rPr>
      </w:pPr>
    </w:p>
    <w:p w14:paraId="06AD50C7"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eastAsia="Times New Roman" w:hAnsi="Times New Roman" w:cs="Times New Roman"/>
          <w:sz w:val="24"/>
        </w:rPr>
        <w:t xml:space="preserve">MONTEIRO, P. V. P. M. Parâmetros de inovação na gestão pública, pela perspectiva contábil, na produção científica: uma revisão de literatura, 2019. 226 f. Dissertação (Mestrado em Ciências Contábeis) - Faculdade de Administração e Finanças, Universidade do Estado do Rio de Janeiro, Rio de Janeiro, 2019. </w:t>
      </w:r>
      <w:r w:rsidRPr="00B77044">
        <w:rPr>
          <w:rFonts w:ascii="Times New Roman" w:hAnsi="Times New Roman" w:cs="Times New Roman"/>
          <w:sz w:val="24"/>
        </w:rPr>
        <w:t>Disponível em: https://www.bdtd.uerj.br:8443/bitstream/1/19259/2/Disserta%c3%a7%c3%a3o%20-%20Paulo%20Vinicius%20Petriz%20Maciel%20Monteiro%20-%202019%20-%20completa.pdf. Acesso 18 Ago 2023.</w:t>
      </w:r>
    </w:p>
    <w:p w14:paraId="1CB26674" w14:textId="77777777" w:rsidR="00B77044" w:rsidRPr="00B77044" w:rsidRDefault="00B77044" w:rsidP="00B77044">
      <w:pPr>
        <w:pStyle w:val="ReferenciasTCC"/>
        <w:spacing w:after="0"/>
        <w:jc w:val="both"/>
        <w:rPr>
          <w:rFonts w:ascii="Times New Roman" w:hAnsi="Times New Roman" w:cs="Times New Roman"/>
          <w:sz w:val="24"/>
        </w:rPr>
      </w:pPr>
    </w:p>
    <w:p w14:paraId="4200A7AD"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MORAES, F. A. Desempenho das respostas adotadas no combate à pandemia de COVID-19: um comparativo dos determinantes sociopolíticos e macroeconômicos da China e dos EUA. 2023. 108 f. Dissertação (Programa de Pós-Graduação em Desenvolvimento Socioeconomico/CCSO) - Universidade Federal do Maranhão, São Luís, 2023. Disponível em: https://tedebc.ufma.br/jspui/bitstream/tede/4567/2/Felipe_Moraes.pdf. Acesso 18 Ago 2023.</w:t>
      </w:r>
    </w:p>
    <w:p w14:paraId="466A5539" w14:textId="77777777" w:rsidR="00B77044" w:rsidRPr="00B77044" w:rsidRDefault="00B77044" w:rsidP="00B77044">
      <w:pPr>
        <w:pStyle w:val="ReferenciasTCC"/>
        <w:spacing w:after="0"/>
        <w:jc w:val="both"/>
        <w:rPr>
          <w:rFonts w:ascii="Times New Roman" w:hAnsi="Times New Roman" w:cs="Times New Roman"/>
          <w:sz w:val="24"/>
        </w:rPr>
      </w:pPr>
    </w:p>
    <w:p w14:paraId="2E2D7955" w14:textId="77777777" w:rsidR="009C0634" w:rsidRPr="00B77044" w:rsidRDefault="009C0634" w:rsidP="00B77044">
      <w:pPr>
        <w:pStyle w:val="ReferenciasTCC"/>
        <w:spacing w:after="0"/>
        <w:jc w:val="both"/>
        <w:rPr>
          <w:rFonts w:ascii="Times New Roman" w:hAnsi="Times New Roman" w:cs="Times New Roman"/>
          <w:sz w:val="24"/>
          <w:lang w:val="en-US"/>
        </w:rPr>
      </w:pPr>
      <w:r w:rsidRPr="00B77044">
        <w:rPr>
          <w:rFonts w:ascii="Times New Roman" w:hAnsi="Times New Roman" w:cs="Times New Roman"/>
          <w:sz w:val="24"/>
          <w:lang w:val="en-US"/>
        </w:rPr>
        <w:t>Nerantzidis, M., &amp; Tsamis, A. (2017). Going back to go forward: on studying the determinants of corporate governance disclosure. Corporate Governance: The international journal of business in society.</w:t>
      </w:r>
    </w:p>
    <w:p w14:paraId="2194716C" w14:textId="77777777" w:rsidR="009C0634" w:rsidRDefault="009C0634" w:rsidP="00B77044">
      <w:pPr>
        <w:pStyle w:val="ReferenciasTCC"/>
        <w:spacing w:after="0"/>
        <w:jc w:val="both"/>
        <w:rPr>
          <w:rFonts w:ascii="Times New Roman" w:hAnsi="Times New Roman" w:cs="Times New Roman"/>
          <w:sz w:val="24"/>
          <w:lang w:val="en-US"/>
        </w:rPr>
      </w:pPr>
      <w:r w:rsidRPr="00B77044">
        <w:rPr>
          <w:rFonts w:ascii="Times New Roman" w:hAnsi="Times New Roman" w:cs="Times New Roman"/>
          <w:sz w:val="24"/>
          <w:lang w:val="en-US"/>
        </w:rPr>
        <w:t>Pierre, J.; Peters, B. G. (2000). Governance, politics and the state. London: Macmillan.</w:t>
      </w:r>
    </w:p>
    <w:p w14:paraId="52480831" w14:textId="77777777" w:rsidR="00B77044" w:rsidRPr="00B77044" w:rsidRDefault="00B77044" w:rsidP="00B77044">
      <w:pPr>
        <w:pStyle w:val="ReferenciasTCC"/>
        <w:spacing w:after="0"/>
        <w:jc w:val="both"/>
        <w:rPr>
          <w:rFonts w:ascii="Times New Roman" w:hAnsi="Times New Roman" w:cs="Times New Roman"/>
          <w:sz w:val="24"/>
          <w:lang w:val="en-US"/>
        </w:rPr>
      </w:pPr>
    </w:p>
    <w:p w14:paraId="56CFF0E8"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lang w:val="en-US"/>
        </w:rPr>
        <w:t xml:space="preserve">Rhodes, R. A. W. (1997). Understanding governance: policy networks, governance, reflexivity and accountability. </w:t>
      </w:r>
      <w:r w:rsidRPr="00B77044">
        <w:rPr>
          <w:rFonts w:ascii="Times New Roman" w:hAnsi="Times New Roman" w:cs="Times New Roman"/>
          <w:sz w:val="24"/>
        </w:rPr>
        <w:t>New York: Open University Press.</w:t>
      </w:r>
    </w:p>
    <w:p w14:paraId="31B034D2" w14:textId="77777777" w:rsidR="00B77044" w:rsidRPr="00B77044" w:rsidRDefault="00B77044" w:rsidP="00B77044">
      <w:pPr>
        <w:pStyle w:val="ReferenciasTCC"/>
        <w:spacing w:after="0"/>
        <w:jc w:val="both"/>
        <w:rPr>
          <w:rFonts w:ascii="Times New Roman" w:hAnsi="Times New Roman" w:cs="Times New Roman"/>
          <w:sz w:val="24"/>
        </w:rPr>
      </w:pPr>
    </w:p>
    <w:p w14:paraId="0259E8B9"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RIBEIRO, J. E.; SOUZA, A. A. 20 anos de governança corporativa no Brasil. </w:t>
      </w:r>
      <w:r w:rsidRPr="00B77044">
        <w:rPr>
          <w:rStyle w:val="Forte"/>
          <w:rFonts w:ascii="Times New Roman" w:hAnsi="Times New Roman" w:cs="Times New Roman"/>
          <w:b w:val="0"/>
          <w:bCs w:val="0"/>
          <w:sz w:val="24"/>
          <w:bdr w:val="none" w:sz="0" w:space="0" w:color="auto" w:frame="1"/>
        </w:rPr>
        <w:t>Revista de Administração da Unimep</w:t>
      </w:r>
      <w:r w:rsidRPr="00B77044">
        <w:rPr>
          <w:rFonts w:ascii="Times New Roman" w:hAnsi="Times New Roman" w:cs="Times New Roman"/>
          <w:sz w:val="24"/>
        </w:rPr>
        <w:t>, v. 19, n. 13, p. 156-180, 2022 Disponível em: http://www.spell.org.br/documentos/download/70128. Acesso 18 Ago 2023.</w:t>
      </w:r>
    </w:p>
    <w:p w14:paraId="71120451" w14:textId="77777777" w:rsidR="00B77044" w:rsidRPr="00B77044" w:rsidRDefault="00B77044" w:rsidP="00B77044">
      <w:pPr>
        <w:pStyle w:val="ReferenciasTCC"/>
        <w:spacing w:after="0"/>
        <w:jc w:val="both"/>
        <w:rPr>
          <w:rFonts w:ascii="Times New Roman" w:hAnsi="Times New Roman" w:cs="Times New Roman"/>
          <w:sz w:val="24"/>
        </w:rPr>
      </w:pPr>
    </w:p>
    <w:p w14:paraId="4E41BF06"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SANTOS, A.; CRISPIM, S.; OLIVA, E.; DORNELLES, M. Códigos de Governança Corporativa dos Países Latino-Americanos: Análise das Práticas da ONU. </w:t>
      </w:r>
      <w:r w:rsidRPr="00B77044">
        <w:rPr>
          <w:rStyle w:val="Forte"/>
          <w:rFonts w:ascii="Times New Roman" w:hAnsi="Times New Roman" w:cs="Times New Roman"/>
          <w:b w:val="0"/>
          <w:bCs w:val="0"/>
          <w:sz w:val="24"/>
          <w:bdr w:val="none" w:sz="0" w:space="0" w:color="auto" w:frame="1"/>
        </w:rPr>
        <w:t>Revista de Administração Mackenzie</w:t>
      </w:r>
      <w:r w:rsidRPr="00B77044">
        <w:rPr>
          <w:rFonts w:ascii="Times New Roman" w:hAnsi="Times New Roman" w:cs="Times New Roman"/>
          <w:sz w:val="24"/>
        </w:rPr>
        <w:t>, v. 21, n. 6, p. 1-28, 2020. Disponível em: http://www.spell.org.br/documentos/download/60157. Acesso 18 Ago 2023.</w:t>
      </w:r>
    </w:p>
    <w:p w14:paraId="3D4A1BFB" w14:textId="77777777" w:rsidR="00B77044" w:rsidRPr="00B77044" w:rsidRDefault="00B77044" w:rsidP="00B77044">
      <w:pPr>
        <w:pStyle w:val="ReferenciasTCC"/>
        <w:spacing w:after="0"/>
        <w:jc w:val="both"/>
        <w:rPr>
          <w:rFonts w:ascii="Times New Roman" w:hAnsi="Times New Roman" w:cs="Times New Roman"/>
          <w:sz w:val="24"/>
        </w:rPr>
      </w:pPr>
    </w:p>
    <w:p w14:paraId="4B4A1D67"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 xml:space="preserve">SILVA, B. S.; FRANCISCO, J. R. S.; CORREIA, L. F.; AVELAR, E. A.; AMARAL, H. F. A influência da governança corporativa no disclosure da Responsabilidade Social Corporativa (RSC) das companhias de </w:t>
      </w:r>
      <w:r w:rsidRPr="00B77044">
        <w:rPr>
          <w:rFonts w:ascii="Times New Roman" w:hAnsi="Times New Roman" w:cs="Times New Roman"/>
          <w:sz w:val="24"/>
        </w:rPr>
        <w:lastRenderedPageBreak/>
        <w:t>capital aberto brasileiras. </w:t>
      </w:r>
      <w:r w:rsidRPr="00B77044">
        <w:rPr>
          <w:rStyle w:val="Forte"/>
          <w:rFonts w:ascii="Times New Roman" w:hAnsi="Times New Roman" w:cs="Times New Roman"/>
          <w:b w:val="0"/>
          <w:bCs w:val="0"/>
          <w:sz w:val="24"/>
          <w:bdr w:val="none" w:sz="0" w:space="0" w:color="auto" w:frame="1"/>
        </w:rPr>
        <w:t>Revista Evidenciação Contábil &amp; Finanças</w:t>
      </w:r>
      <w:r w:rsidRPr="00B77044">
        <w:rPr>
          <w:rFonts w:ascii="Times New Roman" w:hAnsi="Times New Roman" w:cs="Times New Roman"/>
          <w:sz w:val="24"/>
        </w:rPr>
        <w:t>, v. 10, n. 1, p. 71-88, 2022. Disponível em: http://www.spell.org.br/documentos/download/68120. Acesso 18 Ago 2023.</w:t>
      </w:r>
    </w:p>
    <w:p w14:paraId="70CFAC84" w14:textId="77777777" w:rsidR="00B77044" w:rsidRPr="00B77044" w:rsidRDefault="00B77044" w:rsidP="00B77044">
      <w:pPr>
        <w:pStyle w:val="ReferenciasTCC"/>
        <w:spacing w:after="0"/>
        <w:jc w:val="both"/>
        <w:rPr>
          <w:rFonts w:ascii="Times New Roman" w:hAnsi="Times New Roman" w:cs="Times New Roman"/>
          <w:sz w:val="24"/>
        </w:rPr>
      </w:pPr>
    </w:p>
    <w:p w14:paraId="7556C930"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SILVEIRA, G. M.; SILVA, M. R. S.; LUFT, M. C. M. S.; DUARTE, R. G., "Aplicações e Possibilidades do Blockchain: Uma Revisão Sistemática da Produção Científica Brasileira" (2021). </w:t>
      </w:r>
      <w:r w:rsidRPr="00B77044">
        <w:rPr>
          <w:rStyle w:val="nfase"/>
          <w:rFonts w:ascii="Times New Roman" w:hAnsi="Times New Roman" w:cs="Times New Roman"/>
          <w:sz w:val="24"/>
          <w:bdr w:val="none" w:sz="0" w:space="0" w:color="auto" w:frame="1"/>
        </w:rPr>
        <w:t>ISLA 2021 Proceedings</w:t>
      </w:r>
      <w:r w:rsidRPr="00B77044">
        <w:rPr>
          <w:rFonts w:ascii="Times New Roman" w:hAnsi="Times New Roman" w:cs="Times New Roman"/>
          <w:sz w:val="24"/>
        </w:rPr>
        <w:t>. 15.Disponível em: https://aisel.aisnet.org/isla2021/15. Acesso 18 Ago 2023.</w:t>
      </w:r>
    </w:p>
    <w:p w14:paraId="0D539D3E" w14:textId="77777777" w:rsidR="00B77044" w:rsidRPr="00B77044" w:rsidRDefault="00B77044" w:rsidP="00B77044">
      <w:pPr>
        <w:pStyle w:val="ReferenciasTCC"/>
        <w:spacing w:after="0"/>
        <w:jc w:val="both"/>
        <w:rPr>
          <w:rFonts w:ascii="Times New Roman" w:hAnsi="Times New Roman" w:cs="Times New Roman"/>
          <w:sz w:val="24"/>
        </w:rPr>
      </w:pPr>
    </w:p>
    <w:p w14:paraId="1D712F4D"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SIMÕES, J. J. F.; SOUZA, A. A. Panorama da Literatura sobre a Governança Corporativa: Uma Análise Bibliométrica das Bases Teóricas e Abordagens mais Utilizadas em Artigos. </w:t>
      </w:r>
      <w:r w:rsidRPr="00B77044">
        <w:rPr>
          <w:rStyle w:val="Forte"/>
          <w:rFonts w:ascii="Times New Roman" w:hAnsi="Times New Roman" w:cs="Times New Roman"/>
          <w:b w:val="0"/>
          <w:bCs w:val="0"/>
          <w:sz w:val="24"/>
          <w:bdr w:val="none" w:sz="0" w:space="0" w:color="auto" w:frame="1"/>
        </w:rPr>
        <w:t>Revista de Gestão, Finanças e Contabilidade</w:t>
      </w:r>
      <w:r w:rsidRPr="00B77044">
        <w:rPr>
          <w:rFonts w:ascii="Times New Roman" w:hAnsi="Times New Roman" w:cs="Times New Roman"/>
          <w:sz w:val="24"/>
        </w:rPr>
        <w:t>, v. 10, n. 3, p. 62-82, 2020. Disponível em: http://www.spell.org.br/documentos/download/63147. Acesso 18 Ago 2023.</w:t>
      </w:r>
    </w:p>
    <w:p w14:paraId="0CD9DF51" w14:textId="77777777" w:rsidR="00B77044" w:rsidRPr="00B77044" w:rsidRDefault="00B77044" w:rsidP="00B77044">
      <w:pPr>
        <w:pStyle w:val="ReferenciasTCC"/>
        <w:spacing w:after="0"/>
        <w:jc w:val="both"/>
        <w:rPr>
          <w:rFonts w:ascii="Times New Roman" w:hAnsi="Times New Roman" w:cs="Times New Roman"/>
          <w:sz w:val="24"/>
        </w:rPr>
      </w:pPr>
    </w:p>
    <w:p w14:paraId="1A305000"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SMITH, Adam. </w:t>
      </w:r>
      <w:r w:rsidRPr="00B77044">
        <w:rPr>
          <w:rStyle w:val="Forte"/>
          <w:rFonts w:ascii="Times New Roman" w:hAnsi="Times New Roman" w:cs="Times New Roman"/>
          <w:b w:val="0"/>
          <w:bCs w:val="0"/>
          <w:sz w:val="24"/>
        </w:rPr>
        <w:t>A Riqueza Das Nações Investigação Sobre sua Natureza e suas Causas</w:t>
      </w:r>
      <w:r w:rsidRPr="00B77044">
        <w:rPr>
          <w:rFonts w:ascii="Times New Roman" w:hAnsi="Times New Roman" w:cs="Times New Roman"/>
          <w:sz w:val="24"/>
        </w:rPr>
        <w:t>. São Paulo: Editora Nova Cultural, 1996.</w:t>
      </w:r>
    </w:p>
    <w:p w14:paraId="78247CA0" w14:textId="77777777" w:rsidR="00B77044" w:rsidRPr="00B77044" w:rsidRDefault="00B77044" w:rsidP="00B77044">
      <w:pPr>
        <w:pStyle w:val="ReferenciasTCC"/>
        <w:spacing w:after="0"/>
        <w:jc w:val="both"/>
        <w:rPr>
          <w:rFonts w:ascii="Times New Roman" w:hAnsi="Times New Roman" w:cs="Times New Roman"/>
          <w:sz w:val="24"/>
        </w:rPr>
      </w:pPr>
    </w:p>
    <w:p w14:paraId="4A79DE3A"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SOSCHINSKI, C. K.; SCHLUP, D.; BOGONI, N. M.; CUNHA, P. R. Influência da Governança Corporativa na Assimetria de Informação: Uma Comparação entre Empresas Brasileiras e Americanas. </w:t>
      </w:r>
      <w:r w:rsidRPr="00B77044">
        <w:rPr>
          <w:rStyle w:val="Forte"/>
          <w:rFonts w:ascii="Times New Roman" w:hAnsi="Times New Roman" w:cs="Times New Roman"/>
          <w:b w:val="0"/>
          <w:bCs w:val="0"/>
          <w:sz w:val="24"/>
          <w:bdr w:val="none" w:sz="0" w:space="0" w:color="auto" w:frame="1"/>
        </w:rPr>
        <w:t>Revista Contemporânea de Contabilidade</w:t>
      </w:r>
      <w:r w:rsidRPr="00B77044">
        <w:rPr>
          <w:rFonts w:ascii="Times New Roman" w:hAnsi="Times New Roman" w:cs="Times New Roman"/>
          <w:sz w:val="24"/>
        </w:rPr>
        <w:t>, v. 17, n. 43, p. 149-163, 2020.  Disponível em: http://www.spell.org.br/documentos/download/58831. Acesso 18 Ago 2023.</w:t>
      </w:r>
    </w:p>
    <w:p w14:paraId="3BA7C3EB" w14:textId="77777777" w:rsidR="00B77044" w:rsidRPr="00B77044" w:rsidRDefault="00B77044" w:rsidP="00B77044">
      <w:pPr>
        <w:pStyle w:val="ReferenciasTCC"/>
        <w:spacing w:after="0"/>
        <w:jc w:val="both"/>
        <w:rPr>
          <w:rFonts w:ascii="Times New Roman" w:hAnsi="Times New Roman" w:cs="Times New Roman"/>
          <w:sz w:val="24"/>
        </w:rPr>
      </w:pPr>
    </w:p>
    <w:p w14:paraId="404F22D3"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SOUSA, Henrique Adriano de; FERREIRA, Priscila Oliveira; MARIO, Poueri do Carmo. Teoria dos Stakeholders e Governança Corporativa: Uma Revisão Sistemática Sob as Contribuições Acadêmicas Desta Relação. </w:t>
      </w:r>
      <w:r w:rsidRPr="00B77044">
        <w:rPr>
          <w:rStyle w:val="Forte"/>
          <w:rFonts w:ascii="Times New Roman" w:hAnsi="Times New Roman" w:cs="Times New Roman"/>
          <w:b w:val="0"/>
          <w:bCs w:val="0"/>
          <w:sz w:val="24"/>
        </w:rPr>
        <w:t>Fipecafi</w:t>
      </w:r>
      <w:r w:rsidRPr="00B77044">
        <w:rPr>
          <w:rFonts w:ascii="Times New Roman" w:hAnsi="Times New Roman" w:cs="Times New Roman"/>
          <w:sz w:val="24"/>
        </w:rPr>
        <w:t>, São Paulo, v. 22, n. 22, p. 1-21, jul. 2022.</w:t>
      </w:r>
    </w:p>
    <w:p w14:paraId="4AA0E9BB" w14:textId="77777777" w:rsidR="00B77044" w:rsidRPr="00B77044" w:rsidRDefault="00B77044" w:rsidP="00B77044">
      <w:pPr>
        <w:pStyle w:val="ReferenciasTCC"/>
        <w:spacing w:after="0"/>
        <w:jc w:val="both"/>
        <w:rPr>
          <w:rFonts w:ascii="Times New Roman" w:hAnsi="Times New Roman" w:cs="Times New Roman"/>
          <w:sz w:val="24"/>
        </w:rPr>
      </w:pPr>
    </w:p>
    <w:p w14:paraId="36F7C4A1" w14:textId="77777777" w:rsidR="009C0634" w:rsidRPr="00B7704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 xml:space="preserve">SRIVASTAV, Abhishek; HAGENDORFF, Jens. </w:t>
      </w:r>
      <w:r w:rsidRPr="00B77044">
        <w:rPr>
          <w:rFonts w:ascii="Times New Roman" w:hAnsi="Times New Roman" w:cs="Times New Roman"/>
          <w:sz w:val="24"/>
          <w:lang w:val="en-US"/>
        </w:rPr>
        <w:t xml:space="preserve">Corporate Governance and Bank Risk-taking. </w:t>
      </w:r>
      <w:r w:rsidRPr="00B77044">
        <w:rPr>
          <w:rFonts w:ascii="Times New Roman" w:hAnsi="Times New Roman" w:cs="Times New Roman"/>
          <w:sz w:val="24"/>
        </w:rPr>
        <w:t>Corporate Governance: An International Review, 24(3), 334–345, 2015.</w:t>
      </w:r>
    </w:p>
    <w:p w14:paraId="5A3F355F"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br/>
        <w:t>STREIT, R. E.; FARIA, F. A. Alinhando Governança Corporativa e Gestão: Descrição e Análise do Modelodo Banco Central do Brasil. </w:t>
      </w:r>
      <w:r w:rsidRPr="00B77044">
        <w:rPr>
          <w:rStyle w:val="Forte"/>
          <w:rFonts w:ascii="Times New Roman" w:hAnsi="Times New Roman" w:cs="Times New Roman"/>
          <w:b w:val="0"/>
          <w:bCs w:val="0"/>
          <w:sz w:val="24"/>
          <w:bdr w:val="none" w:sz="0" w:space="0" w:color="auto" w:frame="1"/>
        </w:rPr>
        <w:t>Revista do Serviço Público</w:t>
      </w:r>
      <w:r w:rsidRPr="00B77044">
        <w:rPr>
          <w:rFonts w:ascii="Times New Roman" w:hAnsi="Times New Roman" w:cs="Times New Roman"/>
          <w:sz w:val="24"/>
        </w:rPr>
        <w:t>, v. 71, n. 2, p. 330-363, 2020. Disponível em: http://www.spell.org.br/documentos/download/58878. Acesso 18 Ago 2023.</w:t>
      </w:r>
    </w:p>
    <w:p w14:paraId="4725BE55" w14:textId="77777777" w:rsidR="00B77044" w:rsidRPr="00B77044" w:rsidRDefault="00B77044" w:rsidP="00B77044">
      <w:pPr>
        <w:pStyle w:val="ReferenciasTCC"/>
        <w:spacing w:after="0"/>
        <w:jc w:val="both"/>
        <w:rPr>
          <w:rFonts w:ascii="Times New Roman" w:hAnsi="Times New Roman" w:cs="Times New Roman"/>
          <w:sz w:val="24"/>
        </w:rPr>
      </w:pPr>
    </w:p>
    <w:p w14:paraId="45EF5208"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TRES, N.; MAZZIONI, S.; MAGRO, C. B. D. Sensibilidade da sustentabilidade ao cooperativismo e a governança corporativa. </w:t>
      </w:r>
      <w:r w:rsidRPr="00B77044">
        <w:rPr>
          <w:rStyle w:val="Forte"/>
          <w:rFonts w:ascii="Times New Roman" w:hAnsi="Times New Roman" w:cs="Times New Roman"/>
          <w:b w:val="0"/>
          <w:bCs w:val="0"/>
          <w:sz w:val="24"/>
          <w:bdr w:val="none" w:sz="0" w:space="0" w:color="auto" w:frame="1"/>
        </w:rPr>
        <w:t>Contabilidade, Gestão e Governança</w:t>
      </w:r>
      <w:r w:rsidRPr="00B77044">
        <w:rPr>
          <w:rFonts w:ascii="Times New Roman" w:hAnsi="Times New Roman" w:cs="Times New Roman"/>
          <w:sz w:val="24"/>
        </w:rPr>
        <w:t>, v. 25, n. 2, p. 142-158, 2022 Disponível em: http://www.spell.org.br/documentos/download/69270. Acesso 18 Ago 2023.</w:t>
      </w:r>
    </w:p>
    <w:p w14:paraId="3B8631AE" w14:textId="77777777" w:rsidR="00B77044" w:rsidRPr="00B77044" w:rsidRDefault="00B77044" w:rsidP="00B77044">
      <w:pPr>
        <w:pStyle w:val="ReferenciasTCC"/>
        <w:spacing w:after="0"/>
        <w:jc w:val="both"/>
        <w:rPr>
          <w:rFonts w:ascii="Times New Roman" w:hAnsi="Times New Roman" w:cs="Times New Roman"/>
          <w:sz w:val="24"/>
        </w:rPr>
      </w:pPr>
    </w:p>
    <w:p w14:paraId="092AD28E"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VARGAS, L. A.; MAGRO, C. B. D.; MAZZIONI, S. Influência do Gerenciamento de Resultados e da Governança Corporativa no Custo de Capital de Terceiros. </w:t>
      </w:r>
      <w:r w:rsidRPr="00B77044">
        <w:rPr>
          <w:rStyle w:val="Forte"/>
          <w:rFonts w:ascii="Times New Roman" w:hAnsi="Times New Roman" w:cs="Times New Roman"/>
          <w:b w:val="0"/>
          <w:bCs w:val="0"/>
          <w:sz w:val="24"/>
          <w:bdr w:val="none" w:sz="0" w:space="0" w:color="auto" w:frame="1"/>
        </w:rPr>
        <w:t>Revista Contemporânea de Contabilidade</w:t>
      </w:r>
      <w:r w:rsidRPr="00B77044">
        <w:rPr>
          <w:rFonts w:ascii="Times New Roman" w:hAnsi="Times New Roman" w:cs="Times New Roman"/>
          <w:sz w:val="24"/>
        </w:rPr>
        <w:t>, v. 18, n. 46, p. 32-46, 2021.Disponível em: http://www.spell.org.br/documentos/download/61788. Acesso 18 Ago 2023.</w:t>
      </w:r>
    </w:p>
    <w:p w14:paraId="1CA8395F" w14:textId="77777777" w:rsidR="00B77044" w:rsidRPr="00B77044" w:rsidRDefault="00B77044" w:rsidP="00B77044">
      <w:pPr>
        <w:pStyle w:val="ReferenciasTCC"/>
        <w:spacing w:after="0"/>
        <w:jc w:val="both"/>
        <w:rPr>
          <w:rFonts w:ascii="Times New Roman" w:hAnsi="Times New Roman" w:cs="Times New Roman"/>
          <w:sz w:val="24"/>
        </w:rPr>
      </w:pPr>
    </w:p>
    <w:p w14:paraId="4ADC364D"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VAZ, J. B.; COSTA, D. M.; TORGA, E. M. M. F.; SANTOS, L. M. D. Governança corporativa no segmento da saúde: Melhores práticas para organizações de pequeno e médio porte. </w:t>
      </w:r>
      <w:r w:rsidRPr="00B77044">
        <w:rPr>
          <w:rStyle w:val="Forte"/>
          <w:rFonts w:ascii="Times New Roman" w:hAnsi="Times New Roman" w:cs="Times New Roman"/>
          <w:b w:val="0"/>
          <w:bCs w:val="0"/>
          <w:sz w:val="24"/>
          <w:bdr w:val="none" w:sz="0" w:space="0" w:color="auto" w:frame="1"/>
        </w:rPr>
        <w:t>Revista de Administração Hospitalar e Inovação em Saúde</w:t>
      </w:r>
      <w:r w:rsidRPr="00B77044">
        <w:rPr>
          <w:rFonts w:ascii="Times New Roman" w:hAnsi="Times New Roman" w:cs="Times New Roman"/>
          <w:sz w:val="24"/>
        </w:rPr>
        <w:t>, v. 19, n. 4, p. 74-92, 2022. Disponível em: http://www.spell.org.br/documentos/download/71075. Acesso 18 Ago 2023.</w:t>
      </w:r>
    </w:p>
    <w:p w14:paraId="2F42D131" w14:textId="77777777" w:rsidR="00B77044" w:rsidRPr="00B77044" w:rsidRDefault="00B77044" w:rsidP="00B77044">
      <w:pPr>
        <w:pStyle w:val="ReferenciasTCC"/>
        <w:spacing w:after="0"/>
        <w:jc w:val="both"/>
        <w:rPr>
          <w:rFonts w:ascii="Times New Roman" w:hAnsi="Times New Roman" w:cs="Times New Roman"/>
          <w:sz w:val="24"/>
        </w:rPr>
      </w:pPr>
    </w:p>
    <w:p w14:paraId="7D1C01F5"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VICENTE, E. F. R.; GASPARETTO, V. Evidenciação Voluntária de Boas Práticas de Governança Corporativa em Fundações Privadas, à Luz do IBGC. </w:t>
      </w:r>
      <w:r w:rsidRPr="00B77044">
        <w:rPr>
          <w:rStyle w:val="Forte"/>
          <w:rFonts w:ascii="Times New Roman" w:hAnsi="Times New Roman" w:cs="Times New Roman"/>
          <w:b w:val="0"/>
          <w:bCs w:val="0"/>
          <w:sz w:val="24"/>
          <w:bdr w:val="none" w:sz="0" w:space="0" w:color="auto" w:frame="1"/>
        </w:rPr>
        <w:t>Revista Metropolitana de Governança Corporativa</w:t>
      </w:r>
      <w:r w:rsidRPr="00B77044">
        <w:rPr>
          <w:rFonts w:ascii="Times New Roman" w:hAnsi="Times New Roman" w:cs="Times New Roman"/>
          <w:sz w:val="24"/>
        </w:rPr>
        <w:t>, v. 5, n. 1, p. 104-138, 2020. Disponível em:. Acesso 18 Ago 2023.</w:t>
      </w:r>
    </w:p>
    <w:p w14:paraId="4E0E9C10" w14:textId="77777777" w:rsidR="00B77044" w:rsidRPr="00B77044" w:rsidRDefault="00B77044" w:rsidP="00B77044">
      <w:pPr>
        <w:pStyle w:val="ReferenciasTCC"/>
        <w:spacing w:after="0"/>
        <w:jc w:val="both"/>
        <w:rPr>
          <w:rFonts w:ascii="Times New Roman" w:hAnsi="Times New Roman" w:cs="Times New Roman"/>
          <w:sz w:val="24"/>
        </w:rPr>
      </w:pPr>
    </w:p>
    <w:p w14:paraId="368419FA" w14:textId="77777777" w:rsidR="009C063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lastRenderedPageBreak/>
        <w:t xml:space="preserve">VICTÓRIA, Lia Beatriz Gomes (2007). Governança Corporativa: Principais Diferenças entre os Modelos Anglo-Saxão e Nipo-Germânico. XVI CIC. </w:t>
      </w:r>
    </w:p>
    <w:p w14:paraId="29693A72" w14:textId="77777777" w:rsidR="00B77044" w:rsidRPr="00B77044" w:rsidRDefault="00B77044" w:rsidP="00B77044">
      <w:pPr>
        <w:pStyle w:val="ReferenciasTCC"/>
        <w:spacing w:after="0"/>
        <w:jc w:val="both"/>
        <w:rPr>
          <w:rFonts w:ascii="Times New Roman" w:hAnsi="Times New Roman" w:cs="Times New Roman"/>
          <w:sz w:val="24"/>
        </w:rPr>
      </w:pPr>
    </w:p>
    <w:p w14:paraId="04E55CF9" w14:textId="77777777" w:rsidR="009C0634" w:rsidRPr="00B77044" w:rsidRDefault="009C0634" w:rsidP="00B77044">
      <w:pPr>
        <w:pStyle w:val="ReferenciasTCC"/>
        <w:spacing w:after="0"/>
        <w:jc w:val="both"/>
        <w:rPr>
          <w:rFonts w:ascii="Times New Roman" w:hAnsi="Times New Roman" w:cs="Times New Roman"/>
          <w:sz w:val="24"/>
        </w:rPr>
      </w:pPr>
      <w:r w:rsidRPr="00B77044">
        <w:rPr>
          <w:rFonts w:ascii="Times New Roman" w:hAnsi="Times New Roman" w:cs="Times New Roman"/>
          <w:sz w:val="24"/>
        </w:rPr>
        <w:t>ZAFALON, V. M. de A.; PADGETT, R. C. M. L.; YAHIRO, A. A. As influências de determinantes institucionais no disclosure da Responsabilidade Social Empresarial em diferentes países: Uma revisão sistemática da área/ The influences of institutional determinants in the disclosure of Corporate Social Responsibility in different countries: A systematic review of the area. </w:t>
      </w:r>
      <w:r w:rsidRPr="00B77044">
        <w:rPr>
          <w:rFonts w:ascii="Times New Roman" w:hAnsi="Times New Roman" w:cs="Times New Roman"/>
          <w:sz w:val="24"/>
          <w:lang w:val="en-US"/>
        </w:rPr>
        <w:t>Brazilian Journal of Development, </w:t>
      </w:r>
      <w:r w:rsidRPr="00B77044">
        <w:rPr>
          <w:rFonts w:ascii="Times New Roman" w:hAnsi="Times New Roman" w:cs="Times New Roman"/>
          <w:i/>
          <w:iCs/>
          <w:sz w:val="24"/>
          <w:lang w:val="en-US"/>
        </w:rPr>
        <w:t>[S. l.]</w:t>
      </w:r>
      <w:r w:rsidRPr="00B77044">
        <w:rPr>
          <w:rFonts w:ascii="Times New Roman" w:hAnsi="Times New Roman" w:cs="Times New Roman"/>
          <w:sz w:val="24"/>
          <w:lang w:val="en-US"/>
        </w:rPr>
        <w:t xml:space="preserve">, v. 6, n. 6, p. 37050–37077, 2020. DOI: 10.34117/bjdv6n6-296. </w:t>
      </w:r>
      <w:r w:rsidRPr="00B77044">
        <w:rPr>
          <w:rFonts w:ascii="Times New Roman" w:hAnsi="Times New Roman" w:cs="Times New Roman"/>
          <w:sz w:val="24"/>
        </w:rPr>
        <w:t xml:space="preserve">Disponível em: https://ojs.brazilianjournals.com.br/ojs/index.php/BRJD/article/view/11576. Acesso em: 21 aug. 2023. </w:t>
      </w:r>
    </w:p>
    <w:p w14:paraId="6F185E76" w14:textId="77777777" w:rsidR="009C0634" w:rsidRPr="009C0634" w:rsidRDefault="009C0634" w:rsidP="009C0634"/>
    <w:sectPr w:rsidR="009C0634" w:rsidRPr="009C0634" w:rsidSect="00EB2746">
      <w:headerReference w:type="default" r:id="rId14"/>
      <w:pgSz w:w="11906" w:h="16838"/>
      <w:pgMar w:top="1418" w:right="851" w:bottom="1418"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F074" w14:textId="77777777" w:rsidR="00BC42A1" w:rsidRDefault="00BC42A1" w:rsidP="0001349F">
      <w:pPr>
        <w:spacing w:after="0" w:line="240" w:lineRule="auto"/>
      </w:pPr>
      <w:r>
        <w:separator/>
      </w:r>
    </w:p>
  </w:endnote>
  <w:endnote w:type="continuationSeparator" w:id="0">
    <w:p w14:paraId="0AC56EE9" w14:textId="77777777" w:rsidR="00BC42A1" w:rsidRDefault="00BC42A1" w:rsidP="0001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F783" w14:textId="77777777" w:rsidR="00BC42A1" w:rsidRDefault="00BC42A1" w:rsidP="0001349F">
      <w:pPr>
        <w:spacing w:after="0" w:line="240" w:lineRule="auto"/>
        <w:ind w:hanging="2"/>
      </w:pPr>
      <w:r>
        <w:separator/>
      </w:r>
    </w:p>
  </w:footnote>
  <w:footnote w:type="continuationSeparator" w:id="0">
    <w:p w14:paraId="52DA3439" w14:textId="77777777" w:rsidR="00BC42A1" w:rsidRDefault="00BC42A1" w:rsidP="0001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88BF" w14:textId="4D4D6567" w:rsidR="00692F4D" w:rsidRDefault="00692F4D">
    <w:pPr>
      <w:pStyle w:val="Cabealho"/>
      <w:ind w:hanging="2"/>
      <w:rPr>
        <w:noProof/>
      </w:rPr>
    </w:pPr>
    <w:r>
      <w:rPr>
        <w:noProof/>
      </w:rPr>
      <w:drawing>
        <wp:anchor distT="0" distB="0" distL="114300" distR="114300" simplePos="0" relativeHeight="251648512" behindDoc="1" locked="0" layoutInCell="1" allowOverlap="1" wp14:anchorId="0278B5D9" wp14:editId="5561C4D1">
          <wp:simplePos x="0" y="0"/>
          <wp:positionH relativeFrom="page">
            <wp:posOffset>19050</wp:posOffset>
          </wp:positionH>
          <wp:positionV relativeFrom="paragraph">
            <wp:posOffset>-440055</wp:posOffset>
          </wp:positionV>
          <wp:extent cx="7537508" cy="10661927"/>
          <wp:effectExtent l="0" t="0" r="6350" b="6350"/>
          <wp:wrapNone/>
          <wp:docPr id="1469482344" name="Imagem 146948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769900" name="Imagem 21297699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7508" cy="106619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085D1" w14:textId="05984B46" w:rsidR="00692F4D" w:rsidRDefault="00692F4D">
    <w:pPr>
      <w:pStyle w:val="Cabealho"/>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C62"/>
    <w:multiLevelType w:val="multilevel"/>
    <w:tmpl w:val="02243C6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4B00E75"/>
    <w:multiLevelType w:val="multilevel"/>
    <w:tmpl w:val="0416001F"/>
    <w:lvl w:ilvl="0">
      <w:start w:val="1"/>
      <w:numFmt w:val="decimal"/>
      <w:lvlText w:val="%1."/>
      <w:lvlJc w:val="left"/>
      <w:pPr>
        <w:ind w:left="768" w:hanging="360"/>
      </w:pPr>
    </w:lvl>
    <w:lvl w:ilvl="1">
      <w:start w:val="1"/>
      <w:numFmt w:val="decimal"/>
      <w:lvlText w:val="%1.%2."/>
      <w:lvlJc w:val="left"/>
      <w:pPr>
        <w:ind w:left="1200" w:hanging="432"/>
      </w:pPr>
    </w:lvl>
    <w:lvl w:ilvl="2">
      <w:start w:val="1"/>
      <w:numFmt w:val="decimal"/>
      <w:lvlText w:val="%1.%2.%3."/>
      <w:lvlJc w:val="left"/>
      <w:pPr>
        <w:ind w:left="1632" w:hanging="504"/>
      </w:pPr>
    </w:lvl>
    <w:lvl w:ilvl="3">
      <w:start w:val="1"/>
      <w:numFmt w:val="decimal"/>
      <w:lvlText w:val="%1.%2.%3.%4."/>
      <w:lvlJc w:val="left"/>
      <w:pPr>
        <w:ind w:left="2136" w:hanging="648"/>
      </w:pPr>
    </w:lvl>
    <w:lvl w:ilvl="4">
      <w:start w:val="1"/>
      <w:numFmt w:val="decimal"/>
      <w:lvlText w:val="%1.%2.%3.%4.%5."/>
      <w:lvlJc w:val="left"/>
      <w:pPr>
        <w:ind w:left="2640" w:hanging="792"/>
      </w:pPr>
    </w:lvl>
    <w:lvl w:ilvl="5">
      <w:start w:val="1"/>
      <w:numFmt w:val="decimal"/>
      <w:lvlText w:val="%1.%2.%3.%4.%5.%6."/>
      <w:lvlJc w:val="left"/>
      <w:pPr>
        <w:ind w:left="3144" w:hanging="936"/>
      </w:pPr>
    </w:lvl>
    <w:lvl w:ilvl="6">
      <w:start w:val="1"/>
      <w:numFmt w:val="decimal"/>
      <w:lvlText w:val="%1.%2.%3.%4.%5.%6.%7."/>
      <w:lvlJc w:val="left"/>
      <w:pPr>
        <w:ind w:left="3648" w:hanging="1080"/>
      </w:pPr>
    </w:lvl>
    <w:lvl w:ilvl="7">
      <w:start w:val="1"/>
      <w:numFmt w:val="decimal"/>
      <w:lvlText w:val="%1.%2.%3.%4.%5.%6.%7.%8."/>
      <w:lvlJc w:val="left"/>
      <w:pPr>
        <w:ind w:left="4152" w:hanging="1224"/>
      </w:pPr>
    </w:lvl>
    <w:lvl w:ilvl="8">
      <w:start w:val="1"/>
      <w:numFmt w:val="decimal"/>
      <w:lvlText w:val="%1.%2.%3.%4.%5.%6.%7.%8.%9."/>
      <w:lvlJc w:val="left"/>
      <w:pPr>
        <w:ind w:left="4728" w:hanging="1440"/>
      </w:pPr>
    </w:lvl>
  </w:abstractNum>
  <w:abstractNum w:abstractNumId="2" w15:restartNumberingAfterBreak="0">
    <w:nsid w:val="074B6F54"/>
    <w:multiLevelType w:val="hybridMultilevel"/>
    <w:tmpl w:val="688AD4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DC794B"/>
    <w:multiLevelType w:val="hybridMultilevel"/>
    <w:tmpl w:val="1E5E56C8"/>
    <w:lvl w:ilvl="0" w:tplc="EA8C8AB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446C54"/>
    <w:multiLevelType w:val="multilevel"/>
    <w:tmpl w:val="D61ECAA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6313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4515D"/>
    <w:multiLevelType w:val="multilevel"/>
    <w:tmpl w:val="2D1E494E"/>
    <w:lvl w:ilvl="0">
      <w:start w:val="4"/>
      <w:numFmt w:val="decimal"/>
      <w:lvlText w:val="%1"/>
      <w:lvlJc w:val="left"/>
      <w:pPr>
        <w:ind w:left="502" w:hanging="360"/>
      </w:pPr>
      <w:rPr>
        <w:lang w:val="pt-PT" w:eastAsia="en-US" w:bidi="ar-SA"/>
      </w:rPr>
    </w:lvl>
    <w:lvl w:ilvl="1">
      <w:start w:val="3"/>
      <w:numFmt w:val="decimal"/>
      <w:lvlText w:val="%1.%2"/>
      <w:lvlJc w:val="left"/>
      <w:pPr>
        <w:ind w:left="50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69" w:hanging="360"/>
      </w:pPr>
      <w:rPr>
        <w:lang w:val="pt-PT" w:eastAsia="en-US" w:bidi="ar-SA"/>
      </w:rPr>
    </w:lvl>
    <w:lvl w:ilvl="3">
      <w:numFmt w:val="bullet"/>
      <w:lvlText w:val="•"/>
      <w:lvlJc w:val="left"/>
      <w:pPr>
        <w:ind w:left="3153" w:hanging="360"/>
      </w:pPr>
      <w:rPr>
        <w:lang w:val="pt-PT" w:eastAsia="en-US" w:bidi="ar-SA"/>
      </w:rPr>
    </w:lvl>
    <w:lvl w:ilvl="4">
      <w:numFmt w:val="bullet"/>
      <w:lvlText w:val="•"/>
      <w:lvlJc w:val="left"/>
      <w:pPr>
        <w:ind w:left="4038" w:hanging="360"/>
      </w:pPr>
      <w:rPr>
        <w:lang w:val="pt-PT" w:eastAsia="en-US" w:bidi="ar-SA"/>
      </w:rPr>
    </w:lvl>
    <w:lvl w:ilvl="5">
      <w:numFmt w:val="bullet"/>
      <w:lvlText w:val="•"/>
      <w:lvlJc w:val="left"/>
      <w:pPr>
        <w:ind w:left="4923" w:hanging="360"/>
      </w:pPr>
      <w:rPr>
        <w:lang w:val="pt-PT" w:eastAsia="en-US" w:bidi="ar-SA"/>
      </w:rPr>
    </w:lvl>
    <w:lvl w:ilvl="6">
      <w:numFmt w:val="bullet"/>
      <w:lvlText w:val="•"/>
      <w:lvlJc w:val="left"/>
      <w:pPr>
        <w:ind w:left="5807" w:hanging="360"/>
      </w:pPr>
      <w:rPr>
        <w:lang w:val="pt-PT" w:eastAsia="en-US" w:bidi="ar-SA"/>
      </w:rPr>
    </w:lvl>
    <w:lvl w:ilvl="7">
      <w:numFmt w:val="bullet"/>
      <w:lvlText w:val="•"/>
      <w:lvlJc w:val="left"/>
      <w:pPr>
        <w:ind w:left="6692" w:hanging="360"/>
      </w:pPr>
      <w:rPr>
        <w:lang w:val="pt-PT" w:eastAsia="en-US" w:bidi="ar-SA"/>
      </w:rPr>
    </w:lvl>
    <w:lvl w:ilvl="8">
      <w:numFmt w:val="bullet"/>
      <w:lvlText w:val="•"/>
      <w:lvlJc w:val="left"/>
      <w:pPr>
        <w:ind w:left="7577" w:hanging="360"/>
      </w:pPr>
      <w:rPr>
        <w:lang w:val="pt-PT" w:eastAsia="en-US" w:bidi="ar-SA"/>
      </w:rPr>
    </w:lvl>
  </w:abstractNum>
  <w:abstractNum w:abstractNumId="7" w15:restartNumberingAfterBreak="0">
    <w:nsid w:val="0E185588"/>
    <w:multiLevelType w:val="hybridMultilevel"/>
    <w:tmpl w:val="71FADDDC"/>
    <w:lvl w:ilvl="0" w:tplc="59BC191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C548A0"/>
    <w:multiLevelType w:val="multilevel"/>
    <w:tmpl w:val="DDA0DC46"/>
    <w:lvl w:ilvl="0">
      <w:start w:val="3"/>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134D2CCC"/>
    <w:multiLevelType w:val="hybridMultilevel"/>
    <w:tmpl w:val="7BA62208"/>
    <w:lvl w:ilvl="0" w:tplc="FD9CE120">
      <w:numFmt w:val="bullet"/>
      <w:lvlText w:val="•"/>
      <w:lvlJc w:val="left"/>
      <w:pPr>
        <w:ind w:left="703" w:hanging="126"/>
      </w:pPr>
      <w:rPr>
        <w:rFonts w:ascii="Microsoft Sans Serif" w:eastAsia="Microsoft Sans Serif" w:hAnsi="Microsoft Sans Serif" w:cs="Microsoft Sans Serif" w:hint="default"/>
        <w:w w:val="99"/>
        <w:sz w:val="20"/>
        <w:szCs w:val="20"/>
        <w:lang w:val="pt-PT" w:eastAsia="en-US" w:bidi="ar-SA"/>
      </w:rPr>
    </w:lvl>
    <w:lvl w:ilvl="1" w:tplc="1D3C0872">
      <w:numFmt w:val="bullet"/>
      <w:lvlText w:val="•"/>
      <w:lvlJc w:val="left"/>
      <w:pPr>
        <w:ind w:left="3420" w:hanging="126"/>
      </w:pPr>
      <w:rPr>
        <w:rFonts w:hint="default"/>
        <w:lang w:val="pt-PT" w:eastAsia="en-US" w:bidi="ar-SA"/>
      </w:rPr>
    </w:lvl>
    <w:lvl w:ilvl="2" w:tplc="5D94699E">
      <w:numFmt w:val="bullet"/>
      <w:lvlText w:val="•"/>
      <w:lvlJc w:val="left"/>
      <w:pPr>
        <w:ind w:left="4309" w:hanging="126"/>
      </w:pPr>
      <w:rPr>
        <w:rFonts w:hint="default"/>
        <w:lang w:val="pt-PT" w:eastAsia="en-US" w:bidi="ar-SA"/>
      </w:rPr>
    </w:lvl>
    <w:lvl w:ilvl="3" w:tplc="377CE9EA">
      <w:numFmt w:val="bullet"/>
      <w:lvlText w:val="•"/>
      <w:lvlJc w:val="left"/>
      <w:pPr>
        <w:ind w:left="5199" w:hanging="126"/>
      </w:pPr>
      <w:rPr>
        <w:rFonts w:hint="default"/>
        <w:lang w:val="pt-PT" w:eastAsia="en-US" w:bidi="ar-SA"/>
      </w:rPr>
    </w:lvl>
    <w:lvl w:ilvl="4" w:tplc="62D06226">
      <w:numFmt w:val="bullet"/>
      <w:lvlText w:val="•"/>
      <w:lvlJc w:val="left"/>
      <w:pPr>
        <w:ind w:left="6088" w:hanging="126"/>
      </w:pPr>
      <w:rPr>
        <w:rFonts w:hint="default"/>
        <w:lang w:val="pt-PT" w:eastAsia="en-US" w:bidi="ar-SA"/>
      </w:rPr>
    </w:lvl>
    <w:lvl w:ilvl="5" w:tplc="DAE65310">
      <w:numFmt w:val="bullet"/>
      <w:lvlText w:val="•"/>
      <w:lvlJc w:val="left"/>
      <w:pPr>
        <w:ind w:left="6978" w:hanging="126"/>
      </w:pPr>
      <w:rPr>
        <w:rFonts w:hint="default"/>
        <w:lang w:val="pt-PT" w:eastAsia="en-US" w:bidi="ar-SA"/>
      </w:rPr>
    </w:lvl>
    <w:lvl w:ilvl="6" w:tplc="DC286518">
      <w:numFmt w:val="bullet"/>
      <w:lvlText w:val="•"/>
      <w:lvlJc w:val="left"/>
      <w:pPr>
        <w:ind w:left="7867" w:hanging="126"/>
      </w:pPr>
      <w:rPr>
        <w:rFonts w:hint="default"/>
        <w:lang w:val="pt-PT" w:eastAsia="en-US" w:bidi="ar-SA"/>
      </w:rPr>
    </w:lvl>
    <w:lvl w:ilvl="7" w:tplc="D6A62BAE">
      <w:numFmt w:val="bullet"/>
      <w:lvlText w:val="•"/>
      <w:lvlJc w:val="left"/>
      <w:pPr>
        <w:ind w:left="8757" w:hanging="126"/>
      </w:pPr>
      <w:rPr>
        <w:rFonts w:hint="default"/>
        <w:lang w:val="pt-PT" w:eastAsia="en-US" w:bidi="ar-SA"/>
      </w:rPr>
    </w:lvl>
    <w:lvl w:ilvl="8" w:tplc="09E29D70">
      <w:numFmt w:val="bullet"/>
      <w:lvlText w:val="•"/>
      <w:lvlJc w:val="left"/>
      <w:pPr>
        <w:ind w:left="9646" w:hanging="126"/>
      </w:pPr>
      <w:rPr>
        <w:rFonts w:hint="default"/>
        <w:lang w:val="pt-PT" w:eastAsia="en-US" w:bidi="ar-SA"/>
      </w:rPr>
    </w:lvl>
  </w:abstractNum>
  <w:abstractNum w:abstractNumId="10" w15:restartNumberingAfterBreak="0">
    <w:nsid w:val="14AF3808"/>
    <w:multiLevelType w:val="hybridMultilevel"/>
    <w:tmpl w:val="BF7E00E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B0515D"/>
    <w:multiLevelType w:val="hybridMultilevel"/>
    <w:tmpl w:val="80221BD2"/>
    <w:lvl w:ilvl="0" w:tplc="34A04CE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942296"/>
    <w:multiLevelType w:val="multilevel"/>
    <w:tmpl w:val="FDBE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E51A8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A66D0C"/>
    <w:multiLevelType w:val="hybridMultilevel"/>
    <w:tmpl w:val="EEA85A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5D14C2"/>
    <w:multiLevelType w:val="hybridMultilevel"/>
    <w:tmpl w:val="44E2F046"/>
    <w:lvl w:ilvl="0" w:tplc="5FCA5A9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6B7EAE"/>
    <w:multiLevelType w:val="multilevel"/>
    <w:tmpl w:val="19CE5416"/>
    <w:lvl w:ilvl="0">
      <w:start w:val="3"/>
      <w:numFmt w:val="decimal"/>
      <w:lvlText w:val="%1"/>
      <w:lvlJc w:val="left"/>
      <w:pPr>
        <w:ind w:left="500" w:hanging="360"/>
      </w:pPr>
      <w:rPr>
        <w:rFonts w:hint="default"/>
        <w:lang w:val="pt-PT" w:eastAsia="en-US" w:bidi="ar-SA"/>
      </w:rPr>
    </w:lvl>
    <w:lvl w:ilvl="1">
      <w:start w:val="1"/>
      <w:numFmt w:val="decimal"/>
      <w:lvlText w:val="%1.%2"/>
      <w:lvlJc w:val="left"/>
      <w:pPr>
        <w:ind w:left="500"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1478" w:hanging="360"/>
      </w:pPr>
      <w:rPr>
        <w:rFonts w:hint="default"/>
        <w:lang w:val="pt-PT" w:eastAsia="en-US" w:bidi="ar-SA"/>
      </w:rPr>
    </w:lvl>
    <w:lvl w:ilvl="3">
      <w:numFmt w:val="bullet"/>
      <w:lvlText w:val="•"/>
      <w:lvlJc w:val="left"/>
      <w:pPr>
        <w:ind w:left="2457" w:hanging="360"/>
      </w:pPr>
      <w:rPr>
        <w:rFonts w:hint="default"/>
        <w:lang w:val="pt-PT" w:eastAsia="en-US" w:bidi="ar-SA"/>
      </w:rPr>
    </w:lvl>
    <w:lvl w:ilvl="4">
      <w:numFmt w:val="bullet"/>
      <w:lvlText w:val="•"/>
      <w:lvlJc w:val="left"/>
      <w:pPr>
        <w:ind w:left="3436" w:hanging="360"/>
      </w:pPr>
      <w:rPr>
        <w:rFonts w:hint="default"/>
        <w:lang w:val="pt-PT" w:eastAsia="en-US" w:bidi="ar-SA"/>
      </w:rPr>
    </w:lvl>
    <w:lvl w:ilvl="5">
      <w:numFmt w:val="bullet"/>
      <w:lvlText w:val="•"/>
      <w:lvlJc w:val="left"/>
      <w:pPr>
        <w:ind w:left="4415" w:hanging="360"/>
      </w:pPr>
      <w:rPr>
        <w:rFonts w:hint="default"/>
        <w:lang w:val="pt-PT" w:eastAsia="en-US" w:bidi="ar-SA"/>
      </w:rPr>
    </w:lvl>
    <w:lvl w:ilvl="6">
      <w:numFmt w:val="bullet"/>
      <w:lvlText w:val="•"/>
      <w:lvlJc w:val="left"/>
      <w:pPr>
        <w:ind w:left="5394" w:hanging="360"/>
      </w:pPr>
      <w:rPr>
        <w:rFonts w:hint="default"/>
        <w:lang w:val="pt-PT" w:eastAsia="en-US" w:bidi="ar-SA"/>
      </w:rPr>
    </w:lvl>
    <w:lvl w:ilvl="7">
      <w:numFmt w:val="bullet"/>
      <w:lvlText w:val="•"/>
      <w:lvlJc w:val="left"/>
      <w:pPr>
        <w:ind w:left="6373" w:hanging="360"/>
      </w:pPr>
      <w:rPr>
        <w:rFonts w:hint="default"/>
        <w:lang w:val="pt-PT" w:eastAsia="en-US" w:bidi="ar-SA"/>
      </w:rPr>
    </w:lvl>
    <w:lvl w:ilvl="8">
      <w:numFmt w:val="bullet"/>
      <w:lvlText w:val="•"/>
      <w:lvlJc w:val="left"/>
      <w:pPr>
        <w:ind w:left="7352" w:hanging="360"/>
      </w:pPr>
      <w:rPr>
        <w:rFonts w:hint="default"/>
        <w:lang w:val="pt-PT" w:eastAsia="en-US" w:bidi="ar-SA"/>
      </w:rPr>
    </w:lvl>
  </w:abstractNum>
  <w:abstractNum w:abstractNumId="17" w15:restartNumberingAfterBreak="0">
    <w:nsid w:val="212B321E"/>
    <w:multiLevelType w:val="multilevel"/>
    <w:tmpl w:val="B254B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626A4C"/>
    <w:multiLevelType w:val="multilevel"/>
    <w:tmpl w:val="78C4760E"/>
    <w:lvl w:ilvl="0">
      <w:start w:val="5"/>
      <w:numFmt w:val="decimal"/>
      <w:lvlText w:val="%1"/>
      <w:lvlJc w:val="left"/>
      <w:pPr>
        <w:ind w:left="1210" w:hanging="360"/>
      </w:pPr>
      <w:rPr>
        <w:lang w:val="pt-PT" w:eastAsia="en-US" w:bidi="ar-SA"/>
      </w:rPr>
    </w:lvl>
    <w:lvl w:ilvl="1">
      <w:start w:val="1"/>
      <w:numFmt w:val="decimal"/>
      <w:lvlText w:val="%1.%2"/>
      <w:lvlJc w:val="left"/>
      <w:pPr>
        <w:ind w:left="1210"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845" w:hanging="360"/>
      </w:pPr>
      <w:rPr>
        <w:lang w:val="pt-PT" w:eastAsia="en-US" w:bidi="ar-SA"/>
      </w:rPr>
    </w:lvl>
    <w:lvl w:ilvl="3">
      <w:numFmt w:val="bullet"/>
      <w:lvlText w:val="•"/>
      <w:lvlJc w:val="left"/>
      <w:pPr>
        <w:ind w:left="3657" w:hanging="360"/>
      </w:pPr>
      <w:rPr>
        <w:lang w:val="pt-PT" w:eastAsia="en-US" w:bidi="ar-SA"/>
      </w:rPr>
    </w:lvl>
    <w:lvl w:ilvl="4">
      <w:numFmt w:val="bullet"/>
      <w:lvlText w:val="•"/>
      <w:lvlJc w:val="left"/>
      <w:pPr>
        <w:ind w:left="4470" w:hanging="360"/>
      </w:pPr>
      <w:rPr>
        <w:lang w:val="pt-PT" w:eastAsia="en-US" w:bidi="ar-SA"/>
      </w:rPr>
    </w:lvl>
    <w:lvl w:ilvl="5">
      <w:numFmt w:val="bullet"/>
      <w:lvlText w:val="•"/>
      <w:lvlJc w:val="left"/>
      <w:pPr>
        <w:ind w:left="5283" w:hanging="360"/>
      </w:pPr>
      <w:rPr>
        <w:lang w:val="pt-PT" w:eastAsia="en-US" w:bidi="ar-SA"/>
      </w:rPr>
    </w:lvl>
    <w:lvl w:ilvl="6">
      <w:numFmt w:val="bullet"/>
      <w:lvlText w:val="•"/>
      <w:lvlJc w:val="left"/>
      <w:pPr>
        <w:ind w:left="6095" w:hanging="360"/>
      </w:pPr>
      <w:rPr>
        <w:lang w:val="pt-PT" w:eastAsia="en-US" w:bidi="ar-SA"/>
      </w:rPr>
    </w:lvl>
    <w:lvl w:ilvl="7">
      <w:numFmt w:val="bullet"/>
      <w:lvlText w:val="•"/>
      <w:lvlJc w:val="left"/>
      <w:pPr>
        <w:ind w:left="6908" w:hanging="360"/>
      </w:pPr>
      <w:rPr>
        <w:lang w:val="pt-PT" w:eastAsia="en-US" w:bidi="ar-SA"/>
      </w:rPr>
    </w:lvl>
    <w:lvl w:ilvl="8">
      <w:numFmt w:val="bullet"/>
      <w:lvlText w:val="•"/>
      <w:lvlJc w:val="left"/>
      <w:pPr>
        <w:ind w:left="7721" w:hanging="360"/>
      </w:pPr>
      <w:rPr>
        <w:lang w:val="pt-PT" w:eastAsia="en-US" w:bidi="ar-SA"/>
      </w:rPr>
    </w:lvl>
  </w:abstractNum>
  <w:abstractNum w:abstractNumId="19" w15:restartNumberingAfterBreak="0">
    <w:nsid w:val="22E327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766E17"/>
    <w:multiLevelType w:val="hybridMultilevel"/>
    <w:tmpl w:val="882A1FA0"/>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24BD0E02"/>
    <w:multiLevelType w:val="hybridMultilevel"/>
    <w:tmpl w:val="5C4E8DEA"/>
    <w:lvl w:ilvl="0" w:tplc="C5840F7C">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992802"/>
    <w:multiLevelType w:val="multilevel"/>
    <w:tmpl w:val="25992802"/>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2A8F73A8"/>
    <w:multiLevelType w:val="hybridMultilevel"/>
    <w:tmpl w:val="30A0F410"/>
    <w:lvl w:ilvl="0" w:tplc="2FD43A62">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2B226F06"/>
    <w:multiLevelType w:val="hybridMultilevel"/>
    <w:tmpl w:val="F876757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2C806654"/>
    <w:multiLevelType w:val="hybridMultilevel"/>
    <w:tmpl w:val="F3129D30"/>
    <w:lvl w:ilvl="0" w:tplc="D0A869A0">
      <w:start w:val="1"/>
      <w:numFmt w:val="decimal"/>
      <w:lvlText w:val="%1."/>
      <w:lvlJc w:val="left"/>
      <w:pPr>
        <w:ind w:left="861" w:hanging="360"/>
      </w:pPr>
      <w:rPr>
        <w:rFonts w:ascii="Times New Roman" w:eastAsia="Times New Roman" w:hAnsi="Times New Roman" w:cs="Times New Roman" w:hint="default"/>
        <w:b/>
        <w:bCs/>
        <w:w w:val="100"/>
        <w:sz w:val="24"/>
        <w:szCs w:val="24"/>
        <w:lang w:val="pt-PT" w:eastAsia="en-US" w:bidi="ar-SA"/>
      </w:rPr>
    </w:lvl>
    <w:lvl w:ilvl="1" w:tplc="7DA6B1D8">
      <w:numFmt w:val="bullet"/>
      <w:lvlText w:val="•"/>
      <w:lvlJc w:val="left"/>
      <w:pPr>
        <w:ind w:left="860" w:hanging="360"/>
      </w:pPr>
      <w:rPr>
        <w:rFonts w:hint="default"/>
        <w:lang w:val="pt-PT" w:eastAsia="en-US" w:bidi="ar-SA"/>
      </w:rPr>
    </w:lvl>
    <w:lvl w:ilvl="2" w:tplc="4F26E764">
      <w:numFmt w:val="bullet"/>
      <w:lvlText w:val="•"/>
      <w:lvlJc w:val="left"/>
      <w:pPr>
        <w:ind w:left="1798" w:hanging="360"/>
      </w:pPr>
      <w:rPr>
        <w:rFonts w:hint="default"/>
        <w:lang w:val="pt-PT" w:eastAsia="en-US" w:bidi="ar-SA"/>
      </w:rPr>
    </w:lvl>
    <w:lvl w:ilvl="3" w:tplc="706EA54E">
      <w:numFmt w:val="bullet"/>
      <w:lvlText w:val="•"/>
      <w:lvlJc w:val="left"/>
      <w:pPr>
        <w:ind w:left="2737" w:hanging="360"/>
      </w:pPr>
      <w:rPr>
        <w:rFonts w:hint="default"/>
        <w:lang w:val="pt-PT" w:eastAsia="en-US" w:bidi="ar-SA"/>
      </w:rPr>
    </w:lvl>
    <w:lvl w:ilvl="4" w:tplc="1AA80B86">
      <w:numFmt w:val="bullet"/>
      <w:lvlText w:val="•"/>
      <w:lvlJc w:val="left"/>
      <w:pPr>
        <w:ind w:left="3676" w:hanging="360"/>
      </w:pPr>
      <w:rPr>
        <w:rFonts w:hint="default"/>
        <w:lang w:val="pt-PT" w:eastAsia="en-US" w:bidi="ar-SA"/>
      </w:rPr>
    </w:lvl>
    <w:lvl w:ilvl="5" w:tplc="8732009E">
      <w:numFmt w:val="bullet"/>
      <w:lvlText w:val="•"/>
      <w:lvlJc w:val="left"/>
      <w:pPr>
        <w:ind w:left="4615" w:hanging="360"/>
      </w:pPr>
      <w:rPr>
        <w:rFonts w:hint="default"/>
        <w:lang w:val="pt-PT" w:eastAsia="en-US" w:bidi="ar-SA"/>
      </w:rPr>
    </w:lvl>
    <w:lvl w:ilvl="6" w:tplc="1AA0AF6A">
      <w:numFmt w:val="bullet"/>
      <w:lvlText w:val="•"/>
      <w:lvlJc w:val="left"/>
      <w:pPr>
        <w:ind w:left="5554" w:hanging="360"/>
      </w:pPr>
      <w:rPr>
        <w:rFonts w:hint="default"/>
        <w:lang w:val="pt-PT" w:eastAsia="en-US" w:bidi="ar-SA"/>
      </w:rPr>
    </w:lvl>
    <w:lvl w:ilvl="7" w:tplc="FD8CA78C">
      <w:numFmt w:val="bullet"/>
      <w:lvlText w:val="•"/>
      <w:lvlJc w:val="left"/>
      <w:pPr>
        <w:ind w:left="6493" w:hanging="360"/>
      </w:pPr>
      <w:rPr>
        <w:rFonts w:hint="default"/>
        <w:lang w:val="pt-PT" w:eastAsia="en-US" w:bidi="ar-SA"/>
      </w:rPr>
    </w:lvl>
    <w:lvl w:ilvl="8" w:tplc="252EB264">
      <w:numFmt w:val="bullet"/>
      <w:lvlText w:val="•"/>
      <w:lvlJc w:val="left"/>
      <w:pPr>
        <w:ind w:left="7432" w:hanging="360"/>
      </w:pPr>
      <w:rPr>
        <w:rFonts w:hint="default"/>
        <w:lang w:val="pt-PT" w:eastAsia="en-US" w:bidi="ar-SA"/>
      </w:rPr>
    </w:lvl>
  </w:abstractNum>
  <w:abstractNum w:abstractNumId="26" w15:restartNumberingAfterBreak="0">
    <w:nsid w:val="2EC611A8"/>
    <w:multiLevelType w:val="hybridMultilevel"/>
    <w:tmpl w:val="DBCA956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7" w15:restartNumberingAfterBreak="0">
    <w:nsid w:val="2EE83DFC"/>
    <w:multiLevelType w:val="hybridMultilevel"/>
    <w:tmpl w:val="50A0801A"/>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211700D"/>
    <w:multiLevelType w:val="multilevel"/>
    <w:tmpl w:val="E9DAF3C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7F5C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AD95D85"/>
    <w:multiLevelType w:val="hybridMultilevel"/>
    <w:tmpl w:val="ED5ED0B2"/>
    <w:lvl w:ilvl="0" w:tplc="ED045D12">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621433"/>
    <w:multiLevelType w:val="hybridMultilevel"/>
    <w:tmpl w:val="9404C3B0"/>
    <w:lvl w:ilvl="0" w:tplc="516AE944">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3EBB3D0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1B3C5A"/>
    <w:multiLevelType w:val="hybridMultilevel"/>
    <w:tmpl w:val="133413A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4" w15:restartNumberingAfterBreak="0">
    <w:nsid w:val="4287073F"/>
    <w:multiLevelType w:val="multilevel"/>
    <w:tmpl w:val="875AF6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0F5E3E"/>
    <w:multiLevelType w:val="multilevel"/>
    <w:tmpl w:val="FFFFFFFF"/>
    <w:lvl w:ilvl="0">
      <w:start w:val="1"/>
      <w:numFmt w:val="decimal"/>
      <w:pStyle w:val="Commarcado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35D0676"/>
    <w:multiLevelType w:val="hybridMultilevel"/>
    <w:tmpl w:val="0A70D70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7" w15:restartNumberingAfterBreak="0">
    <w:nsid w:val="443E4F3D"/>
    <w:multiLevelType w:val="multilevel"/>
    <w:tmpl w:val="2198181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6774AD"/>
    <w:multiLevelType w:val="multilevel"/>
    <w:tmpl w:val="F968C150"/>
    <w:lvl w:ilvl="0">
      <w:start w:val="3"/>
      <w:numFmt w:val="decimal"/>
      <w:lvlText w:val="%1."/>
      <w:lvlJc w:val="left"/>
      <w:pPr>
        <w:ind w:left="1211" w:hanging="360"/>
      </w:pPr>
      <w:rPr>
        <w:rFonts w:hint="default"/>
      </w:rPr>
    </w:lvl>
    <w:lvl w:ilvl="1">
      <w:start w:val="1"/>
      <w:numFmt w:val="decimal"/>
      <w:isLgl/>
      <w:lvlText w:val="%1.%2"/>
      <w:lvlJc w:val="left"/>
      <w:pPr>
        <w:ind w:left="1406" w:hanging="55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9" w15:restartNumberingAfterBreak="0">
    <w:nsid w:val="464E6170"/>
    <w:multiLevelType w:val="hybridMultilevel"/>
    <w:tmpl w:val="0A2CA802"/>
    <w:lvl w:ilvl="0" w:tplc="C11CF9F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CC4420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63681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17947FF"/>
    <w:multiLevelType w:val="multilevel"/>
    <w:tmpl w:val="AD705734"/>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3" w15:restartNumberingAfterBreak="0">
    <w:nsid w:val="518531F1"/>
    <w:multiLevelType w:val="multilevel"/>
    <w:tmpl w:val="3DB83A96"/>
    <w:lvl w:ilvl="0">
      <w:start w:val="4"/>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44" w15:restartNumberingAfterBreak="0">
    <w:nsid w:val="52E446C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FE1E23"/>
    <w:multiLevelType w:val="multilevel"/>
    <w:tmpl w:val="B2644E50"/>
    <w:lvl w:ilvl="0">
      <w:start w:val="4"/>
      <w:numFmt w:val="decimal"/>
      <w:lvlText w:val="%1"/>
      <w:lvlJc w:val="left"/>
      <w:pPr>
        <w:ind w:left="502" w:hanging="360"/>
      </w:pPr>
      <w:rPr>
        <w:lang w:val="pt-PT" w:eastAsia="en-US" w:bidi="ar-SA"/>
      </w:rPr>
    </w:lvl>
    <w:lvl w:ilvl="1">
      <w:start w:val="1"/>
      <w:numFmt w:val="decimal"/>
      <w:lvlText w:val="%1.%2"/>
      <w:lvlJc w:val="left"/>
      <w:pPr>
        <w:ind w:left="502"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269" w:hanging="360"/>
      </w:pPr>
      <w:rPr>
        <w:lang w:val="pt-PT" w:eastAsia="en-US" w:bidi="ar-SA"/>
      </w:rPr>
    </w:lvl>
    <w:lvl w:ilvl="3">
      <w:numFmt w:val="bullet"/>
      <w:lvlText w:val="•"/>
      <w:lvlJc w:val="left"/>
      <w:pPr>
        <w:ind w:left="3153" w:hanging="360"/>
      </w:pPr>
      <w:rPr>
        <w:lang w:val="pt-PT" w:eastAsia="en-US" w:bidi="ar-SA"/>
      </w:rPr>
    </w:lvl>
    <w:lvl w:ilvl="4">
      <w:numFmt w:val="bullet"/>
      <w:lvlText w:val="•"/>
      <w:lvlJc w:val="left"/>
      <w:pPr>
        <w:ind w:left="4038" w:hanging="360"/>
      </w:pPr>
      <w:rPr>
        <w:lang w:val="pt-PT" w:eastAsia="en-US" w:bidi="ar-SA"/>
      </w:rPr>
    </w:lvl>
    <w:lvl w:ilvl="5">
      <w:numFmt w:val="bullet"/>
      <w:lvlText w:val="•"/>
      <w:lvlJc w:val="left"/>
      <w:pPr>
        <w:ind w:left="4923" w:hanging="360"/>
      </w:pPr>
      <w:rPr>
        <w:lang w:val="pt-PT" w:eastAsia="en-US" w:bidi="ar-SA"/>
      </w:rPr>
    </w:lvl>
    <w:lvl w:ilvl="6">
      <w:numFmt w:val="bullet"/>
      <w:lvlText w:val="•"/>
      <w:lvlJc w:val="left"/>
      <w:pPr>
        <w:ind w:left="5807" w:hanging="360"/>
      </w:pPr>
      <w:rPr>
        <w:lang w:val="pt-PT" w:eastAsia="en-US" w:bidi="ar-SA"/>
      </w:rPr>
    </w:lvl>
    <w:lvl w:ilvl="7">
      <w:numFmt w:val="bullet"/>
      <w:lvlText w:val="•"/>
      <w:lvlJc w:val="left"/>
      <w:pPr>
        <w:ind w:left="6692" w:hanging="360"/>
      </w:pPr>
      <w:rPr>
        <w:lang w:val="pt-PT" w:eastAsia="en-US" w:bidi="ar-SA"/>
      </w:rPr>
    </w:lvl>
    <w:lvl w:ilvl="8">
      <w:numFmt w:val="bullet"/>
      <w:lvlText w:val="•"/>
      <w:lvlJc w:val="left"/>
      <w:pPr>
        <w:ind w:left="7577" w:hanging="360"/>
      </w:pPr>
      <w:rPr>
        <w:lang w:val="pt-PT" w:eastAsia="en-US" w:bidi="ar-SA"/>
      </w:rPr>
    </w:lvl>
  </w:abstractNum>
  <w:abstractNum w:abstractNumId="46" w15:restartNumberingAfterBreak="0">
    <w:nsid w:val="543C41F4"/>
    <w:multiLevelType w:val="hybridMultilevel"/>
    <w:tmpl w:val="B85AEF38"/>
    <w:lvl w:ilvl="0" w:tplc="37287226">
      <w:start w:val="1"/>
      <w:numFmt w:val="decimal"/>
      <w:lvlText w:val="%1."/>
      <w:lvlJc w:val="left"/>
      <w:pPr>
        <w:ind w:left="1319" w:hanging="468"/>
      </w:pPr>
      <w:rPr>
        <w:rFonts w:ascii="Arial" w:eastAsiaTheme="minorHAnsi" w:hAnsi="Arial" w:hint="default"/>
        <w:color w:val="0563C1" w:themeColor="hyperlink"/>
        <w:sz w:val="24"/>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556035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2022E10"/>
    <w:multiLevelType w:val="multilevel"/>
    <w:tmpl w:val="96164A96"/>
    <w:lvl w:ilvl="0">
      <w:start w:val="6"/>
      <w:numFmt w:val="decimal"/>
      <w:lvlText w:val="%1"/>
      <w:lvlJc w:val="left"/>
      <w:pPr>
        <w:ind w:left="1210" w:hanging="360"/>
      </w:pPr>
      <w:rPr>
        <w:lang w:val="pt-PT" w:eastAsia="en-US" w:bidi="ar-SA"/>
      </w:rPr>
    </w:lvl>
    <w:lvl w:ilvl="1">
      <w:start w:val="1"/>
      <w:numFmt w:val="decimal"/>
      <w:lvlText w:val="%1.%2"/>
      <w:lvlJc w:val="left"/>
      <w:pPr>
        <w:ind w:left="1210" w:hanging="36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105" w:hanging="360"/>
      </w:pPr>
      <w:rPr>
        <w:lang w:val="pt-PT" w:eastAsia="en-US" w:bidi="ar-SA"/>
      </w:rPr>
    </w:lvl>
    <w:lvl w:ilvl="3">
      <w:numFmt w:val="bullet"/>
      <w:lvlText w:val="•"/>
      <w:lvlJc w:val="left"/>
      <w:pPr>
        <w:ind w:left="3010" w:hanging="360"/>
      </w:pPr>
      <w:rPr>
        <w:lang w:val="pt-PT" w:eastAsia="en-US" w:bidi="ar-SA"/>
      </w:rPr>
    </w:lvl>
    <w:lvl w:ilvl="4">
      <w:numFmt w:val="bullet"/>
      <w:lvlText w:val="•"/>
      <w:lvlJc w:val="left"/>
      <w:pPr>
        <w:ind w:left="3915" w:hanging="360"/>
      </w:pPr>
      <w:rPr>
        <w:lang w:val="pt-PT" w:eastAsia="en-US" w:bidi="ar-SA"/>
      </w:rPr>
    </w:lvl>
    <w:lvl w:ilvl="5">
      <w:numFmt w:val="bullet"/>
      <w:lvlText w:val="•"/>
      <w:lvlJc w:val="left"/>
      <w:pPr>
        <w:ind w:left="4820" w:hanging="360"/>
      </w:pPr>
      <w:rPr>
        <w:lang w:val="pt-PT" w:eastAsia="en-US" w:bidi="ar-SA"/>
      </w:rPr>
    </w:lvl>
    <w:lvl w:ilvl="6">
      <w:numFmt w:val="bullet"/>
      <w:lvlText w:val="•"/>
      <w:lvlJc w:val="left"/>
      <w:pPr>
        <w:ind w:left="5725" w:hanging="360"/>
      </w:pPr>
      <w:rPr>
        <w:lang w:val="pt-PT" w:eastAsia="en-US" w:bidi="ar-SA"/>
      </w:rPr>
    </w:lvl>
    <w:lvl w:ilvl="7">
      <w:numFmt w:val="bullet"/>
      <w:lvlText w:val="•"/>
      <w:lvlJc w:val="left"/>
      <w:pPr>
        <w:ind w:left="6630" w:hanging="360"/>
      </w:pPr>
      <w:rPr>
        <w:lang w:val="pt-PT" w:eastAsia="en-US" w:bidi="ar-SA"/>
      </w:rPr>
    </w:lvl>
    <w:lvl w:ilvl="8">
      <w:numFmt w:val="bullet"/>
      <w:lvlText w:val="•"/>
      <w:lvlJc w:val="left"/>
      <w:pPr>
        <w:ind w:left="7536" w:hanging="360"/>
      </w:pPr>
      <w:rPr>
        <w:lang w:val="pt-PT" w:eastAsia="en-US" w:bidi="ar-SA"/>
      </w:rPr>
    </w:lvl>
  </w:abstractNum>
  <w:abstractNum w:abstractNumId="49" w15:restartNumberingAfterBreak="0">
    <w:nsid w:val="622A3FFD"/>
    <w:multiLevelType w:val="multilevel"/>
    <w:tmpl w:val="F89AB074"/>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3282F4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6FB7F8D"/>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7F14647"/>
    <w:multiLevelType w:val="hybridMultilevel"/>
    <w:tmpl w:val="9E9C4C30"/>
    <w:lvl w:ilvl="0" w:tplc="6DE6967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ABA4074"/>
    <w:multiLevelType w:val="hybridMultilevel"/>
    <w:tmpl w:val="2528EB46"/>
    <w:lvl w:ilvl="0" w:tplc="EEF0343C">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6ACA112B"/>
    <w:multiLevelType w:val="multilevel"/>
    <w:tmpl w:val="6ACA11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6D0C37AC"/>
    <w:multiLevelType w:val="hybridMultilevel"/>
    <w:tmpl w:val="221613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0C21B4B"/>
    <w:multiLevelType w:val="hybridMultilevel"/>
    <w:tmpl w:val="777E9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3C26FD"/>
    <w:multiLevelType w:val="hybridMultilevel"/>
    <w:tmpl w:val="619AEBD8"/>
    <w:lvl w:ilvl="0" w:tplc="FFFFFFFF">
      <w:start w:val="6"/>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8" w15:restartNumberingAfterBreak="0">
    <w:nsid w:val="7B41438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CD838DD"/>
    <w:multiLevelType w:val="multilevel"/>
    <w:tmpl w:val="49440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E41BDB"/>
    <w:multiLevelType w:val="multilevel"/>
    <w:tmpl w:val="BD1A0216"/>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16cid:durableId="2081751775">
    <w:abstractNumId w:val="31"/>
  </w:num>
  <w:num w:numId="2" w16cid:durableId="550922630">
    <w:abstractNumId w:val="38"/>
  </w:num>
  <w:num w:numId="3" w16cid:durableId="1821145766">
    <w:abstractNumId w:val="36"/>
  </w:num>
  <w:num w:numId="4" w16cid:durableId="652685965">
    <w:abstractNumId w:val="60"/>
  </w:num>
  <w:num w:numId="5" w16cid:durableId="36705344">
    <w:abstractNumId w:val="53"/>
  </w:num>
  <w:num w:numId="6" w16cid:durableId="1508252977">
    <w:abstractNumId w:val="26"/>
  </w:num>
  <w:num w:numId="7" w16cid:durableId="538006628">
    <w:abstractNumId w:val="57"/>
  </w:num>
  <w:num w:numId="8" w16cid:durableId="413207963">
    <w:abstractNumId w:val="52"/>
  </w:num>
  <w:num w:numId="9" w16cid:durableId="1248345158">
    <w:abstractNumId w:val="49"/>
  </w:num>
  <w:num w:numId="10" w16cid:durableId="360477678">
    <w:abstractNumId w:val="37"/>
  </w:num>
  <w:num w:numId="11" w16cid:durableId="1910841874">
    <w:abstractNumId w:val="17"/>
  </w:num>
  <w:num w:numId="12" w16cid:durableId="1111171569">
    <w:abstractNumId w:val="4"/>
  </w:num>
  <w:num w:numId="13" w16cid:durableId="1349286426">
    <w:abstractNumId w:val="3"/>
  </w:num>
  <w:num w:numId="14" w16cid:durableId="787432958">
    <w:abstractNumId w:val="51"/>
  </w:num>
  <w:num w:numId="15" w16cid:durableId="165676199">
    <w:abstractNumId w:val="10"/>
  </w:num>
  <w:num w:numId="16" w16cid:durableId="2029060617">
    <w:abstractNumId w:val="56"/>
  </w:num>
  <w:num w:numId="17" w16cid:durableId="444538153">
    <w:abstractNumId w:val="12"/>
  </w:num>
  <w:num w:numId="18" w16cid:durableId="596331697">
    <w:abstractNumId w:val="28"/>
  </w:num>
  <w:num w:numId="19" w16cid:durableId="316616875">
    <w:abstractNumId w:val="14"/>
  </w:num>
  <w:num w:numId="20" w16cid:durableId="969870133">
    <w:abstractNumId w:val="23"/>
  </w:num>
  <w:num w:numId="21" w16cid:durableId="1291060205">
    <w:abstractNumId w:val="24"/>
  </w:num>
  <w:num w:numId="22" w16cid:durableId="1189642171">
    <w:abstractNumId w:val="44"/>
  </w:num>
  <w:num w:numId="23" w16cid:durableId="1445266027">
    <w:abstractNumId w:val="5"/>
  </w:num>
  <w:num w:numId="24" w16cid:durableId="1969627515">
    <w:abstractNumId w:val="47"/>
  </w:num>
  <w:num w:numId="25" w16cid:durableId="1387753859">
    <w:abstractNumId w:val="29"/>
  </w:num>
  <w:num w:numId="26" w16cid:durableId="1730617000">
    <w:abstractNumId w:val="1"/>
  </w:num>
  <w:num w:numId="27" w16cid:durableId="825240246">
    <w:abstractNumId w:val="40"/>
  </w:num>
  <w:num w:numId="28" w16cid:durableId="1693797930">
    <w:abstractNumId w:val="41"/>
  </w:num>
  <w:num w:numId="29" w16cid:durableId="900795563">
    <w:abstractNumId w:val="46"/>
  </w:num>
  <w:num w:numId="30" w16cid:durableId="1068919619">
    <w:abstractNumId w:val="13"/>
  </w:num>
  <w:num w:numId="31" w16cid:durableId="220285971">
    <w:abstractNumId w:val="50"/>
  </w:num>
  <w:num w:numId="32" w16cid:durableId="1880824448">
    <w:abstractNumId w:val="19"/>
  </w:num>
  <w:num w:numId="33" w16cid:durableId="1612468220">
    <w:abstractNumId w:val="32"/>
  </w:num>
  <w:num w:numId="34" w16cid:durableId="1283149236">
    <w:abstractNumId w:val="58"/>
  </w:num>
  <w:num w:numId="35" w16cid:durableId="1208683074">
    <w:abstractNumId w:val="33"/>
  </w:num>
  <w:num w:numId="36" w16cid:durableId="318266145">
    <w:abstractNumId w:val="20"/>
  </w:num>
  <w:num w:numId="37" w16cid:durableId="71708995">
    <w:abstractNumId w:val="27"/>
  </w:num>
  <w:num w:numId="38" w16cid:durableId="68355970">
    <w:abstractNumId w:val="2"/>
  </w:num>
  <w:num w:numId="39" w16cid:durableId="1649672294">
    <w:abstractNumId w:val="55"/>
  </w:num>
  <w:num w:numId="40" w16cid:durableId="21444676">
    <w:abstractNumId w:val="21"/>
  </w:num>
  <w:num w:numId="41" w16cid:durableId="1440107616">
    <w:abstractNumId w:val="15"/>
  </w:num>
  <w:num w:numId="42" w16cid:durableId="612980358">
    <w:abstractNumId w:val="30"/>
  </w:num>
  <w:num w:numId="43" w16cid:durableId="86267571">
    <w:abstractNumId w:val="35"/>
  </w:num>
  <w:num w:numId="44" w16cid:durableId="1903297074">
    <w:abstractNumId w:val="16"/>
  </w:num>
  <w:num w:numId="45" w16cid:durableId="1708096057">
    <w:abstractNumId w:val="25"/>
  </w:num>
  <w:num w:numId="46" w16cid:durableId="1138035414">
    <w:abstractNumId w:val="9"/>
  </w:num>
  <w:num w:numId="47" w16cid:durableId="2072607286">
    <w:abstractNumId w:val="0"/>
  </w:num>
  <w:num w:numId="48" w16cid:durableId="624044716">
    <w:abstractNumId w:val="22"/>
    <w:lvlOverride w:ilvl="0">
      <w:lvl w:ilvl="0">
        <w:numFmt w:val="decimal"/>
        <w:lvlText w:val="%1."/>
        <w:lvlJc w:val="left"/>
      </w:lvl>
    </w:lvlOverride>
  </w:num>
  <w:num w:numId="49" w16cid:durableId="871114433">
    <w:abstractNumId w:val="54"/>
  </w:num>
  <w:num w:numId="50" w16cid:durableId="461728216">
    <w:abstractNumId w:val="34"/>
  </w:num>
  <w:num w:numId="51" w16cid:durableId="1110782611">
    <w:abstractNumId w:val="45"/>
  </w:num>
  <w:num w:numId="52" w16cid:durableId="1872524725">
    <w:abstractNumId w:val="45"/>
    <w:lvlOverride w:ilvl="0">
      <w:startOverride w:val="4"/>
    </w:lvlOverride>
    <w:lvlOverride w:ilvl="1">
      <w:startOverride w:val="1"/>
    </w:lvlOverride>
    <w:lvlOverride w:ilvl="2"/>
    <w:lvlOverride w:ilvl="3"/>
    <w:lvlOverride w:ilvl="4"/>
    <w:lvlOverride w:ilvl="5"/>
    <w:lvlOverride w:ilvl="6"/>
    <w:lvlOverride w:ilvl="7"/>
    <w:lvlOverride w:ilvl="8"/>
  </w:num>
  <w:num w:numId="53" w16cid:durableId="573051310">
    <w:abstractNumId w:val="6"/>
  </w:num>
  <w:num w:numId="54" w16cid:durableId="1700738953">
    <w:abstractNumId w:val="6"/>
    <w:lvlOverride w:ilvl="0">
      <w:startOverride w:val="4"/>
    </w:lvlOverride>
    <w:lvlOverride w:ilvl="1">
      <w:startOverride w:val="3"/>
    </w:lvlOverride>
    <w:lvlOverride w:ilvl="2"/>
    <w:lvlOverride w:ilvl="3"/>
    <w:lvlOverride w:ilvl="4"/>
    <w:lvlOverride w:ilvl="5"/>
    <w:lvlOverride w:ilvl="6"/>
    <w:lvlOverride w:ilvl="7"/>
    <w:lvlOverride w:ilvl="8"/>
  </w:num>
  <w:num w:numId="55" w16cid:durableId="484510006">
    <w:abstractNumId w:val="18"/>
  </w:num>
  <w:num w:numId="56" w16cid:durableId="1858763084">
    <w:abstractNumId w:val="18"/>
    <w:lvlOverride w:ilvl="0">
      <w:startOverride w:val="5"/>
    </w:lvlOverride>
    <w:lvlOverride w:ilvl="1">
      <w:startOverride w:val="1"/>
    </w:lvlOverride>
    <w:lvlOverride w:ilvl="2"/>
    <w:lvlOverride w:ilvl="3"/>
    <w:lvlOverride w:ilvl="4"/>
    <w:lvlOverride w:ilvl="5"/>
    <w:lvlOverride w:ilvl="6"/>
    <w:lvlOverride w:ilvl="7"/>
    <w:lvlOverride w:ilvl="8"/>
  </w:num>
  <w:num w:numId="57" w16cid:durableId="667713272">
    <w:abstractNumId w:val="43"/>
  </w:num>
  <w:num w:numId="58" w16cid:durableId="514198518">
    <w:abstractNumId w:val="48"/>
    <w:lvlOverride w:ilvl="0">
      <w:startOverride w:val="6"/>
    </w:lvlOverride>
    <w:lvlOverride w:ilvl="1">
      <w:startOverride w:val="1"/>
    </w:lvlOverride>
    <w:lvlOverride w:ilvl="2"/>
    <w:lvlOverride w:ilvl="3"/>
    <w:lvlOverride w:ilvl="4"/>
    <w:lvlOverride w:ilvl="5"/>
    <w:lvlOverride w:ilvl="6"/>
    <w:lvlOverride w:ilvl="7"/>
    <w:lvlOverride w:ilvl="8"/>
  </w:num>
  <w:num w:numId="59" w16cid:durableId="35586764">
    <w:abstractNumId w:val="48"/>
  </w:num>
  <w:num w:numId="60" w16cid:durableId="1753744705">
    <w:abstractNumId w:val="8"/>
  </w:num>
  <w:num w:numId="61" w16cid:durableId="1077437721">
    <w:abstractNumId w:val="59"/>
  </w:num>
  <w:num w:numId="62" w16cid:durableId="1003779339">
    <w:abstractNumId w:val="42"/>
  </w:num>
  <w:num w:numId="63" w16cid:durableId="948048624">
    <w:abstractNumId w:val="7"/>
  </w:num>
  <w:num w:numId="64" w16cid:durableId="1441955263">
    <w:abstractNumId w:val="39"/>
  </w:num>
  <w:num w:numId="65" w16cid:durableId="7821890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FF"/>
    <w:rsid w:val="0000301B"/>
    <w:rsid w:val="0001349F"/>
    <w:rsid w:val="000533AB"/>
    <w:rsid w:val="000E3DE1"/>
    <w:rsid w:val="00130BB1"/>
    <w:rsid w:val="0014660A"/>
    <w:rsid w:val="001B23F9"/>
    <w:rsid w:val="001B5090"/>
    <w:rsid w:val="001E64AE"/>
    <w:rsid w:val="00224AE3"/>
    <w:rsid w:val="00230039"/>
    <w:rsid w:val="00244AD1"/>
    <w:rsid w:val="0028143A"/>
    <w:rsid w:val="002B65C3"/>
    <w:rsid w:val="002C1397"/>
    <w:rsid w:val="002E0DF2"/>
    <w:rsid w:val="002E486F"/>
    <w:rsid w:val="002F2EC7"/>
    <w:rsid w:val="002F369C"/>
    <w:rsid w:val="003676F5"/>
    <w:rsid w:val="003A1802"/>
    <w:rsid w:val="003B4267"/>
    <w:rsid w:val="003B7C4E"/>
    <w:rsid w:val="003C4B07"/>
    <w:rsid w:val="003E6D95"/>
    <w:rsid w:val="003F5028"/>
    <w:rsid w:val="004106CF"/>
    <w:rsid w:val="00423453"/>
    <w:rsid w:val="004373CF"/>
    <w:rsid w:val="00452D61"/>
    <w:rsid w:val="004714F5"/>
    <w:rsid w:val="004771A8"/>
    <w:rsid w:val="00527691"/>
    <w:rsid w:val="005A55AB"/>
    <w:rsid w:val="005A5C18"/>
    <w:rsid w:val="00627FDE"/>
    <w:rsid w:val="0065291D"/>
    <w:rsid w:val="00652B2C"/>
    <w:rsid w:val="00692F4D"/>
    <w:rsid w:val="006B096C"/>
    <w:rsid w:val="006B6BDA"/>
    <w:rsid w:val="006C0A3E"/>
    <w:rsid w:val="00723667"/>
    <w:rsid w:val="00781B01"/>
    <w:rsid w:val="007A5036"/>
    <w:rsid w:val="007B485A"/>
    <w:rsid w:val="007D4321"/>
    <w:rsid w:val="007F2CCB"/>
    <w:rsid w:val="0085495C"/>
    <w:rsid w:val="008A735A"/>
    <w:rsid w:val="008C4B0F"/>
    <w:rsid w:val="008F72CC"/>
    <w:rsid w:val="00914685"/>
    <w:rsid w:val="00931EB4"/>
    <w:rsid w:val="009C0634"/>
    <w:rsid w:val="009E5586"/>
    <w:rsid w:val="009F688F"/>
    <w:rsid w:val="00A028CB"/>
    <w:rsid w:val="00A115D5"/>
    <w:rsid w:val="00A137E6"/>
    <w:rsid w:val="00A2697B"/>
    <w:rsid w:val="00A760FA"/>
    <w:rsid w:val="00A90809"/>
    <w:rsid w:val="00AA563E"/>
    <w:rsid w:val="00B553FF"/>
    <w:rsid w:val="00B77044"/>
    <w:rsid w:val="00B84B66"/>
    <w:rsid w:val="00B924A9"/>
    <w:rsid w:val="00BC42A1"/>
    <w:rsid w:val="00C14F27"/>
    <w:rsid w:val="00C47ED7"/>
    <w:rsid w:val="00C721B8"/>
    <w:rsid w:val="00C7524E"/>
    <w:rsid w:val="00CF3A84"/>
    <w:rsid w:val="00D253EB"/>
    <w:rsid w:val="00D50395"/>
    <w:rsid w:val="00D50C39"/>
    <w:rsid w:val="00D53989"/>
    <w:rsid w:val="00D90C68"/>
    <w:rsid w:val="00DC3D53"/>
    <w:rsid w:val="00DD36D8"/>
    <w:rsid w:val="00DF7581"/>
    <w:rsid w:val="00E2141E"/>
    <w:rsid w:val="00E805F3"/>
    <w:rsid w:val="00E938FE"/>
    <w:rsid w:val="00EA21FE"/>
    <w:rsid w:val="00EB2746"/>
    <w:rsid w:val="00EB292D"/>
    <w:rsid w:val="00EE2A36"/>
    <w:rsid w:val="00EE641E"/>
    <w:rsid w:val="00F926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75D26"/>
  <w15:chartTrackingRefBased/>
  <w15:docId w15:val="{1B70C56D-6071-4172-B869-EC834E84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DA"/>
    <w:rPr>
      <w:rFonts w:ascii="Calibri" w:eastAsia="Calibri" w:hAnsi="Calibri" w:cs="Times New Roman"/>
    </w:rPr>
  </w:style>
  <w:style w:type="paragraph" w:styleId="Ttulo1">
    <w:name w:val="heading 1"/>
    <w:basedOn w:val="Normal"/>
    <w:next w:val="Normal"/>
    <w:link w:val="Ttulo1Char"/>
    <w:uiPriority w:val="9"/>
    <w:qFormat/>
    <w:rsid w:val="00452D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452D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52D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452D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00452D6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2E486F"/>
    <w:pPr>
      <w:keepNext/>
      <w:keepLines/>
      <w:widowControl w:val="0"/>
      <w:suppressLineNumbers/>
      <w:suppressAutoHyphens/>
      <w:spacing w:before="240" w:after="80" w:line="360" w:lineRule="auto"/>
      <w:ind w:left="1152" w:hanging="1152"/>
      <w:jc w:val="both"/>
      <w:outlineLvl w:val="5"/>
    </w:pPr>
    <w:rPr>
      <w:rFonts w:ascii="Times New Roman" w:eastAsia="Arial" w:hAnsi="Times New Roman" w:cs="Arial"/>
      <w:i/>
      <w:color w:val="666666"/>
      <w:sz w:val="24"/>
      <w:lang w:eastAsia="pt-BR"/>
    </w:rPr>
  </w:style>
  <w:style w:type="paragraph" w:styleId="Ttulo7">
    <w:name w:val="heading 7"/>
    <w:basedOn w:val="Normal"/>
    <w:next w:val="Normal"/>
    <w:link w:val="Ttulo7Char"/>
    <w:uiPriority w:val="9"/>
    <w:semiHidden/>
    <w:unhideWhenUsed/>
    <w:qFormat/>
    <w:rsid w:val="002E486F"/>
    <w:pPr>
      <w:keepNext/>
      <w:keepLines/>
      <w:widowControl w:val="0"/>
      <w:suppressLineNumbers/>
      <w:suppressAutoHyphens/>
      <w:spacing w:before="40" w:after="0" w:line="360" w:lineRule="auto"/>
      <w:ind w:left="1296" w:hanging="1296"/>
      <w:jc w:val="both"/>
      <w:outlineLvl w:val="6"/>
    </w:pPr>
    <w:rPr>
      <w:rFonts w:asciiTheme="majorHAnsi" w:eastAsiaTheme="majorEastAsia" w:hAnsiTheme="majorHAnsi" w:cstheme="majorBidi"/>
      <w:i/>
      <w:iCs/>
      <w:color w:val="1F3763" w:themeColor="accent1" w:themeShade="7F"/>
      <w:sz w:val="24"/>
      <w:lang w:eastAsia="pt-BR"/>
    </w:rPr>
  </w:style>
  <w:style w:type="paragraph" w:styleId="Ttulo8">
    <w:name w:val="heading 8"/>
    <w:basedOn w:val="Normal"/>
    <w:next w:val="Normal"/>
    <w:link w:val="Ttulo8Char"/>
    <w:uiPriority w:val="9"/>
    <w:semiHidden/>
    <w:unhideWhenUsed/>
    <w:qFormat/>
    <w:rsid w:val="002E486F"/>
    <w:pPr>
      <w:keepNext/>
      <w:keepLines/>
      <w:widowControl w:val="0"/>
      <w:suppressLineNumbers/>
      <w:suppressAutoHyphens/>
      <w:spacing w:before="40" w:after="0" w:line="360" w:lineRule="auto"/>
      <w:ind w:left="1440" w:hanging="1440"/>
      <w:jc w:val="both"/>
      <w:outlineLvl w:val="7"/>
    </w:pPr>
    <w:rPr>
      <w:rFonts w:asciiTheme="majorHAnsi" w:eastAsiaTheme="majorEastAsia" w:hAnsiTheme="majorHAnsi" w:cstheme="majorBidi"/>
      <w:color w:val="272727" w:themeColor="text1" w:themeTint="D8"/>
      <w:sz w:val="21"/>
      <w:szCs w:val="21"/>
      <w:lang w:eastAsia="pt-BR"/>
    </w:rPr>
  </w:style>
  <w:style w:type="paragraph" w:styleId="Ttulo9">
    <w:name w:val="heading 9"/>
    <w:basedOn w:val="Normal"/>
    <w:next w:val="Normal"/>
    <w:link w:val="Ttulo9Char"/>
    <w:uiPriority w:val="9"/>
    <w:semiHidden/>
    <w:unhideWhenUsed/>
    <w:qFormat/>
    <w:rsid w:val="002E486F"/>
    <w:pPr>
      <w:keepNext/>
      <w:keepLines/>
      <w:widowControl w:val="0"/>
      <w:suppressLineNumbers/>
      <w:suppressAutoHyphens/>
      <w:spacing w:before="40" w:after="0" w:line="360" w:lineRule="auto"/>
      <w:ind w:left="1584" w:hanging="1584"/>
      <w:jc w:val="both"/>
      <w:outlineLvl w:val="8"/>
    </w:pPr>
    <w:rPr>
      <w:rFonts w:asciiTheme="majorHAnsi" w:eastAsiaTheme="majorEastAsia" w:hAnsiTheme="majorHAnsi" w:cstheme="majorBidi"/>
      <w:i/>
      <w:iCs/>
      <w:color w:val="272727" w:themeColor="text1" w:themeTint="D8"/>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2D61"/>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52D61"/>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452D61"/>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rsid w:val="00452D61"/>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rsid w:val="00452D61"/>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2E486F"/>
    <w:rPr>
      <w:rFonts w:ascii="Times New Roman" w:eastAsia="Arial" w:hAnsi="Times New Roman" w:cs="Arial"/>
      <w:i/>
      <w:color w:val="666666"/>
      <w:sz w:val="24"/>
      <w:lang w:eastAsia="pt-BR"/>
    </w:rPr>
  </w:style>
  <w:style w:type="character" w:customStyle="1" w:styleId="Ttulo7Char">
    <w:name w:val="Título 7 Char"/>
    <w:basedOn w:val="Fontepargpadro"/>
    <w:link w:val="Ttulo7"/>
    <w:uiPriority w:val="9"/>
    <w:semiHidden/>
    <w:rsid w:val="002E486F"/>
    <w:rPr>
      <w:rFonts w:asciiTheme="majorHAnsi" w:eastAsiaTheme="majorEastAsia" w:hAnsiTheme="majorHAnsi" w:cstheme="majorBidi"/>
      <w:i/>
      <w:iCs/>
      <w:color w:val="1F3763" w:themeColor="accent1" w:themeShade="7F"/>
      <w:sz w:val="24"/>
      <w:lang w:eastAsia="pt-BR"/>
    </w:rPr>
  </w:style>
  <w:style w:type="character" w:customStyle="1" w:styleId="Ttulo8Char">
    <w:name w:val="Título 8 Char"/>
    <w:basedOn w:val="Fontepargpadro"/>
    <w:link w:val="Ttulo8"/>
    <w:uiPriority w:val="9"/>
    <w:semiHidden/>
    <w:rsid w:val="002E486F"/>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uiPriority w:val="9"/>
    <w:semiHidden/>
    <w:rsid w:val="002E486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0134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349F"/>
  </w:style>
  <w:style w:type="paragraph" w:styleId="Rodap">
    <w:name w:val="footer"/>
    <w:basedOn w:val="Normal"/>
    <w:link w:val="RodapChar"/>
    <w:uiPriority w:val="99"/>
    <w:unhideWhenUsed/>
    <w:rsid w:val="0001349F"/>
    <w:pPr>
      <w:tabs>
        <w:tab w:val="center" w:pos="4252"/>
        <w:tab w:val="right" w:pos="8504"/>
      </w:tabs>
      <w:spacing w:after="0" w:line="240" w:lineRule="auto"/>
    </w:pPr>
  </w:style>
  <w:style w:type="character" w:customStyle="1" w:styleId="RodapChar">
    <w:name w:val="Rodapé Char"/>
    <w:basedOn w:val="Fontepargpadro"/>
    <w:link w:val="Rodap"/>
    <w:uiPriority w:val="99"/>
    <w:rsid w:val="0001349F"/>
  </w:style>
  <w:style w:type="paragraph" w:styleId="SemEspaamento">
    <w:name w:val="No Spacing"/>
    <w:uiPriority w:val="1"/>
    <w:qFormat/>
    <w:rsid w:val="00C7524E"/>
    <w:pPr>
      <w:spacing w:after="0" w:line="240" w:lineRule="auto"/>
    </w:pPr>
  </w:style>
  <w:style w:type="paragraph" w:styleId="Subttulo">
    <w:name w:val="Subtitle"/>
    <w:basedOn w:val="Normal"/>
    <w:next w:val="Normal"/>
    <w:link w:val="SubttuloChar"/>
    <w:uiPriority w:val="11"/>
    <w:qFormat/>
    <w:rsid w:val="00EE2A36"/>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EE2A36"/>
    <w:rPr>
      <w:rFonts w:eastAsiaTheme="minorEastAsia"/>
      <w:color w:val="5A5A5A" w:themeColor="text1" w:themeTint="A5"/>
      <w:spacing w:val="15"/>
    </w:rPr>
  </w:style>
  <w:style w:type="paragraph" w:customStyle="1" w:styleId="Referncias">
    <w:name w:val="Referências"/>
    <w:basedOn w:val="Normal"/>
    <w:rsid w:val="00452D61"/>
    <w:pPr>
      <w:widowControl w:val="0"/>
      <w:spacing w:before="120" w:after="120" w:line="240" w:lineRule="auto"/>
    </w:pPr>
    <w:rPr>
      <w:rFonts w:ascii="Times New Roman" w:eastAsia="MS Mincho" w:hAnsi="Times New Roman"/>
      <w:sz w:val="24"/>
      <w:szCs w:val="24"/>
      <w:lang w:eastAsia="ja-JP"/>
    </w:rPr>
  </w:style>
  <w:style w:type="character" w:styleId="Hyperlink">
    <w:name w:val="Hyperlink"/>
    <w:basedOn w:val="Fontepargpadro"/>
    <w:uiPriority w:val="99"/>
    <w:unhideWhenUsed/>
    <w:rsid w:val="009F688F"/>
    <w:rPr>
      <w:color w:val="0563C1" w:themeColor="hyperlink"/>
      <w:u w:val="single"/>
    </w:rPr>
  </w:style>
  <w:style w:type="paragraph" w:styleId="Textodenotaderodap">
    <w:name w:val="footnote text"/>
    <w:basedOn w:val="Normal"/>
    <w:link w:val="TextodenotaderodapChar"/>
    <w:uiPriority w:val="99"/>
    <w:unhideWhenUsed/>
    <w:rsid w:val="009F688F"/>
    <w:pPr>
      <w:spacing w:after="0" w:line="240" w:lineRule="auto"/>
      <w:ind w:firstLine="851"/>
      <w:jc w:val="both"/>
    </w:pPr>
    <w:rPr>
      <w:sz w:val="20"/>
      <w:szCs w:val="20"/>
      <w:lang w:val="es-419"/>
    </w:rPr>
  </w:style>
  <w:style w:type="character" w:customStyle="1" w:styleId="TextodenotaderodapChar">
    <w:name w:val="Texto de nota de rodapé Char"/>
    <w:basedOn w:val="Fontepargpadro"/>
    <w:link w:val="Textodenotaderodap"/>
    <w:uiPriority w:val="99"/>
    <w:rsid w:val="009F688F"/>
    <w:rPr>
      <w:sz w:val="20"/>
      <w:szCs w:val="20"/>
      <w:lang w:val="es-419"/>
    </w:rPr>
  </w:style>
  <w:style w:type="character" w:styleId="Refdenotaderodap">
    <w:name w:val="footnote reference"/>
    <w:basedOn w:val="Fontepargpadro"/>
    <w:uiPriority w:val="99"/>
    <w:semiHidden/>
    <w:unhideWhenUsed/>
    <w:rsid w:val="009F688F"/>
    <w:rPr>
      <w:vertAlign w:val="superscript"/>
    </w:rPr>
  </w:style>
  <w:style w:type="character" w:styleId="MenoPendente">
    <w:name w:val="Unresolved Mention"/>
    <w:basedOn w:val="Fontepargpadro"/>
    <w:uiPriority w:val="99"/>
    <w:semiHidden/>
    <w:unhideWhenUsed/>
    <w:rsid w:val="009F688F"/>
    <w:rPr>
      <w:color w:val="605E5C"/>
      <w:shd w:val="clear" w:color="auto" w:fill="E1DFDD"/>
    </w:rPr>
  </w:style>
  <w:style w:type="paragraph" w:styleId="PargrafodaLista">
    <w:name w:val="List Paragraph"/>
    <w:basedOn w:val="Normal"/>
    <w:uiPriority w:val="1"/>
    <w:qFormat/>
    <w:rsid w:val="003C4B07"/>
    <w:pPr>
      <w:spacing w:after="0" w:line="360" w:lineRule="auto"/>
      <w:ind w:left="720" w:firstLine="851"/>
      <w:contextualSpacing/>
      <w:jc w:val="both"/>
    </w:pPr>
    <w:rPr>
      <w:lang w:val="es-419"/>
    </w:rPr>
  </w:style>
  <w:style w:type="character" w:customStyle="1" w:styleId="MenoPendente1">
    <w:name w:val="Menção Pendente1"/>
    <w:basedOn w:val="Fontepargpadro"/>
    <w:uiPriority w:val="99"/>
    <w:semiHidden/>
    <w:unhideWhenUsed/>
    <w:rsid w:val="003C4B07"/>
    <w:rPr>
      <w:color w:val="605E5C"/>
      <w:shd w:val="clear" w:color="auto" w:fill="E1DFDD"/>
    </w:rPr>
  </w:style>
  <w:style w:type="paragraph" w:customStyle="1" w:styleId="paragraph">
    <w:name w:val="paragraph"/>
    <w:basedOn w:val="Normal"/>
    <w:rsid w:val="003C4B07"/>
    <w:pPr>
      <w:spacing w:before="100" w:beforeAutospacing="1" w:after="100" w:afterAutospacing="1" w:line="240" w:lineRule="auto"/>
      <w:ind w:firstLine="851"/>
      <w:jc w:val="both"/>
    </w:pPr>
    <w:rPr>
      <w:rFonts w:ascii="Times New Roman" w:eastAsia="Times New Roman" w:hAnsi="Times New Roman"/>
      <w:sz w:val="24"/>
      <w:szCs w:val="24"/>
      <w:lang w:eastAsia="pt-BR"/>
    </w:rPr>
  </w:style>
  <w:style w:type="character" w:customStyle="1" w:styleId="eop">
    <w:name w:val="eop"/>
    <w:basedOn w:val="Fontepargpadro"/>
    <w:rsid w:val="003C4B07"/>
  </w:style>
  <w:style w:type="character" w:styleId="Refdecomentrio">
    <w:name w:val="annotation reference"/>
    <w:basedOn w:val="Fontepargpadro"/>
    <w:uiPriority w:val="99"/>
    <w:semiHidden/>
    <w:unhideWhenUsed/>
    <w:rsid w:val="003C4B07"/>
    <w:rPr>
      <w:sz w:val="16"/>
      <w:szCs w:val="16"/>
    </w:rPr>
  </w:style>
  <w:style w:type="paragraph" w:styleId="Textodecomentrio">
    <w:name w:val="annotation text"/>
    <w:basedOn w:val="Normal"/>
    <w:link w:val="TextodecomentrioChar"/>
    <w:uiPriority w:val="99"/>
    <w:unhideWhenUsed/>
    <w:rsid w:val="003C4B07"/>
    <w:pPr>
      <w:spacing w:after="0" w:line="240" w:lineRule="auto"/>
      <w:ind w:firstLine="851"/>
      <w:jc w:val="both"/>
    </w:pPr>
    <w:rPr>
      <w:sz w:val="20"/>
      <w:szCs w:val="20"/>
      <w:lang w:val="es-419"/>
    </w:rPr>
  </w:style>
  <w:style w:type="character" w:customStyle="1" w:styleId="TextodecomentrioChar">
    <w:name w:val="Texto de comentário Char"/>
    <w:basedOn w:val="Fontepargpadro"/>
    <w:link w:val="Textodecomentrio"/>
    <w:uiPriority w:val="99"/>
    <w:rsid w:val="003C4B07"/>
    <w:rPr>
      <w:sz w:val="20"/>
      <w:szCs w:val="20"/>
      <w:lang w:val="es-419"/>
    </w:rPr>
  </w:style>
  <w:style w:type="character" w:styleId="Nmerodelinha">
    <w:name w:val="line number"/>
    <w:basedOn w:val="Fontepargpadro"/>
    <w:uiPriority w:val="99"/>
    <w:semiHidden/>
    <w:unhideWhenUsed/>
    <w:rsid w:val="003C4B07"/>
  </w:style>
  <w:style w:type="table" w:styleId="Tabelacomgrade">
    <w:name w:val="Table Grid"/>
    <w:basedOn w:val="Tabelanormal"/>
    <w:uiPriority w:val="39"/>
    <w:rsid w:val="00367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A21FE"/>
    <w:pPr>
      <w:spacing w:before="100" w:beforeAutospacing="1" w:after="100" w:afterAutospacing="1" w:line="240" w:lineRule="auto"/>
    </w:pPr>
    <w:rPr>
      <w:rFonts w:ascii="Tahoma" w:eastAsia="Times New Roman" w:hAnsi="Tahoma" w:cs="Tahoma"/>
      <w:sz w:val="17"/>
      <w:szCs w:val="17"/>
      <w:lang w:eastAsia="pt-BR"/>
    </w:rPr>
  </w:style>
  <w:style w:type="paragraph" w:styleId="Corpodetexto">
    <w:name w:val="Body Text"/>
    <w:basedOn w:val="Normal"/>
    <w:link w:val="CorpodetextoChar"/>
    <w:uiPriority w:val="1"/>
    <w:qFormat/>
    <w:rsid w:val="00EA21FE"/>
    <w:pPr>
      <w:spacing w:after="120" w:line="360" w:lineRule="auto"/>
      <w:ind w:firstLine="567"/>
      <w:jc w:val="both"/>
    </w:pPr>
    <w:rPr>
      <w:rFonts w:ascii="Times New Roman" w:eastAsia="Times New Roman" w:hAnsi="Times New Roman"/>
      <w:sz w:val="24"/>
      <w:szCs w:val="17"/>
      <w:lang w:val="x-none" w:eastAsia="x-none"/>
    </w:rPr>
  </w:style>
  <w:style w:type="character" w:customStyle="1" w:styleId="CorpodetextoChar">
    <w:name w:val="Corpo de texto Char"/>
    <w:basedOn w:val="Fontepargpadro"/>
    <w:link w:val="Corpodetexto"/>
    <w:uiPriority w:val="1"/>
    <w:rsid w:val="00EA21FE"/>
    <w:rPr>
      <w:rFonts w:ascii="Times New Roman" w:eastAsia="Times New Roman" w:hAnsi="Times New Roman" w:cs="Times New Roman"/>
      <w:sz w:val="24"/>
      <w:szCs w:val="17"/>
      <w:lang w:val="x-none" w:eastAsia="x-none"/>
    </w:rPr>
  </w:style>
  <w:style w:type="paragraph" w:customStyle="1" w:styleId="1CorpodeTexto">
    <w:name w:val="1. Corpo de Texto"/>
    <w:link w:val="1CorpodeTextoChar"/>
    <w:rsid w:val="00EA21FE"/>
    <w:pPr>
      <w:tabs>
        <w:tab w:val="num" w:pos="0"/>
      </w:tabs>
      <w:spacing w:before="240" w:after="240" w:line="360" w:lineRule="auto"/>
      <w:ind w:firstLine="709"/>
      <w:jc w:val="both"/>
    </w:pPr>
    <w:rPr>
      <w:rFonts w:ascii="Times New Roman" w:eastAsia="Times New Roman" w:hAnsi="Times New Roman" w:cs="Times New Roman"/>
      <w:sz w:val="24"/>
      <w:szCs w:val="20"/>
      <w:lang w:eastAsia="pt-BR"/>
    </w:rPr>
  </w:style>
  <w:style w:type="character" w:customStyle="1" w:styleId="1CorpodeTextoChar">
    <w:name w:val="1. Corpo de Texto Char"/>
    <w:link w:val="1CorpodeTexto"/>
    <w:locked/>
    <w:rsid w:val="00EA21FE"/>
    <w:rPr>
      <w:rFonts w:ascii="Times New Roman" w:eastAsia="Times New Roman" w:hAnsi="Times New Roman" w:cs="Times New Roman"/>
      <w:sz w:val="24"/>
      <w:szCs w:val="20"/>
      <w:lang w:eastAsia="pt-BR"/>
    </w:rPr>
  </w:style>
  <w:style w:type="paragraph" w:customStyle="1" w:styleId="Default">
    <w:name w:val="Default"/>
    <w:rsid w:val="00EA21F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justifica">
    <w:name w:val="justifica"/>
    <w:basedOn w:val="Normal"/>
    <w:rsid w:val="00EA21F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itaolonga">
    <w:name w:val="Citação longa"/>
    <w:basedOn w:val="Normal"/>
    <w:qFormat/>
    <w:rsid w:val="002E486F"/>
    <w:pPr>
      <w:widowControl w:val="0"/>
      <w:suppressLineNumbers/>
      <w:suppressAutoHyphens/>
      <w:spacing w:after="0" w:line="240" w:lineRule="auto"/>
      <w:ind w:left="2268"/>
      <w:jc w:val="both"/>
    </w:pPr>
    <w:rPr>
      <w:rFonts w:ascii="Arial" w:eastAsia="Arial" w:hAnsi="Arial" w:cs="Arial"/>
      <w:color w:val="000000" w:themeColor="text1"/>
      <w:sz w:val="20"/>
      <w:szCs w:val="20"/>
      <w:lang w:eastAsia="pt-BR"/>
    </w:rPr>
  </w:style>
  <w:style w:type="table" w:customStyle="1" w:styleId="NormalTable0">
    <w:name w:val="Normal Table0"/>
    <w:uiPriority w:val="99"/>
    <w:qFormat/>
    <w:rsid w:val="002E486F"/>
    <w:pPr>
      <w:suppressAutoHyphens/>
      <w:spacing w:after="0" w:line="240" w:lineRule="auto"/>
    </w:pPr>
    <w:rPr>
      <w:rFonts w:ascii="Arial" w:eastAsia="Arial" w:hAnsi="Arial" w:cs="Arial"/>
      <w:lang w:eastAsia="pt-BR"/>
    </w:rPr>
    <w:tblPr>
      <w:tblCellMar>
        <w:top w:w="0" w:type="dxa"/>
        <w:left w:w="0" w:type="dxa"/>
        <w:bottom w:w="0" w:type="dxa"/>
        <w:right w:w="0" w:type="dxa"/>
      </w:tblCellMar>
    </w:tblPr>
  </w:style>
  <w:style w:type="paragraph" w:customStyle="1" w:styleId="TableParagraph">
    <w:name w:val="Table Paragraph"/>
    <w:basedOn w:val="Normal"/>
    <w:uiPriority w:val="1"/>
    <w:qFormat/>
    <w:rsid w:val="002E486F"/>
    <w:pPr>
      <w:widowControl w:val="0"/>
      <w:suppressLineNumbers/>
      <w:suppressAutoHyphens/>
      <w:autoSpaceDE w:val="0"/>
      <w:autoSpaceDN w:val="0"/>
      <w:spacing w:after="0" w:line="240" w:lineRule="auto"/>
    </w:pPr>
    <w:rPr>
      <w:rFonts w:cs="Calibri"/>
      <w:lang w:val="pt-PT"/>
    </w:rPr>
  </w:style>
  <w:style w:type="paragraph" w:customStyle="1" w:styleId="ReferenciasTCC">
    <w:name w:val="Referencias TCC"/>
    <w:basedOn w:val="Normal"/>
    <w:qFormat/>
    <w:rsid w:val="002E486F"/>
    <w:pPr>
      <w:spacing w:after="240" w:line="240" w:lineRule="auto"/>
    </w:pPr>
    <w:rPr>
      <w:rFonts w:ascii="Arial" w:eastAsia="Arial" w:hAnsi="Arial" w:cs="Arial"/>
      <w:color w:val="000000" w:themeColor="text1"/>
      <w:szCs w:val="24"/>
      <w:lang w:eastAsia="pt-BR"/>
    </w:rPr>
  </w:style>
  <w:style w:type="character" w:customStyle="1" w:styleId="AssuntodocomentrioChar">
    <w:name w:val="Assunto do comentário Char"/>
    <w:basedOn w:val="TextodecomentrioChar"/>
    <w:link w:val="Assuntodocomentrio"/>
    <w:uiPriority w:val="99"/>
    <w:semiHidden/>
    <w:rsid w:val="00A115D5"/>
    <w:rPr>
      <w:rFonts w:ascii="Arial" w:hAnsi="Arial"/>
      <w:b/>
      <w:bCs/>
      <w:sz w:val="20"/>
      <w:szCs w:val="20"/>
      <w:lang w:val="es-419"/>
    </w:rPr>
  </w:style>
  <w:style w:type="paragraph" w:styleId="Assuntodocomentrio">
    <w:name w:val="annotation subject"/>
    <w:basedOn w:val="Textodecomentrio"/>
    <w:next w:val="Textodecomentrio"/>
    <w:link w:val="AssuntodocomentrioChar"/>
    <w:uiPriority w:val="99"/>
    <w:semiHidden/>
    <w:unhideWhenUsed/>
    <w:rsid w:val="00A115D5"/>
    <w:rPr>
      <w:rFonts w:ascii="Arial" w:eastAsiaTheme="minorHAnsi" w:hAnsi="Arial" w:cstheme="minorBidi"/>
      <w:b/>
      <w:bCs/>
      <w:lang w:val="pt-BR"/>
    </w:rPr>
  </w:style>
  <w:style w:type="character" w:customStyle="1" w:styleId="TextodebaloChar">
    <w:name w:val="Texto de balão Char"/>
    <w:basedOn w:val="Fontepargpadro"/>
    <w:link w:val="Textodebalo"/>
    <w:uiPriority w:val="99"/>
    <w:semiHidden/>
    <w:rsid w:val="00A115D5"/>
    <w:rPr>
      <w:rFonts w:ascii="Tahoma" w:hAnsi="Tahoma" w:cs="Tahoma"/>
      <w:sz w:val="16"/>
      <w:szCs w:val="16"/>
    </w:rPr>
  </w:style>
  <w:style w:type="paragraph" w:styleId="Textodebalo">
    <w:name w:val="Balloon Text"/>
    <w:basedOn w:val="Normal"/>
    <w:link w:val="TextodebaloChar"/>
    <w:uiPriority w:val="99"/>
    <w:semiHidden/>
    <w:unhideWhenUsed/>
    <w:rsid w:val="00A115D5"/>
    <w:pPr>
      <w:spacing w:after="0" w:line="240" w:lineRule="auto"/>
      <w:ind w:firstLine="851"/>
      <w:jc w:val="both"/>
    </w:pPr>
    <w:rPr>
      <w:rFonts w:ascii="Tahoma" w:eastAsiaTheme="minorHAnsi" w:hAnsi="Tahoma" w:cs="Tahoma"/>
      <w:sz w:val="16"/>
      <w:szCs w:val="16"/>
    </w:rPr>
  </w:style>
  <w:style w:type="paragraph" w:styleId="Sumrio1">
    <w:name w:val="toc 1"/>
    <w:basedOn w:val="Normal"/>
    <w:next w:val="Normal"/>
    <w:autoRedefine/>
    <w:uiPriority w:val="1"/>
    <w:unhideWhenUsed/>
    <w:qFormat/>
    <w:rsid w:val="00A115D5"/>
    <w:pPr>
      <w:tabs>
        <w:tab w:val="left" w:pos="1540"/>
        <w:tab w:val="right" w:leader="dot" w:pos="9061"/>
      </w:tabs>
      <w:spacing w:after="0" w:line="360" w:lineRule="auto"/>
      <w:ind w:left="709" w:hanging="709"/>
      <w:jc w:val="both"/>
    </w:pPr>
    <w:rPr>
      <w:rFonts w:ascii="Arial" w:eastAsiaTheme="minorHAnsi" w:hAnsi="Arial" w:cstheme="minorBidi"/>
      <w:b/>
      <w:sz w:val="24"/>
    </w:rPr>
  </w:style>
  <w:style w:type="paragraph" w:styleId="CabealhodoSumrio">
    <w:name w:val="TOC Heading"/>
    <w:basedOn w:val="Ttulo1"/>
    <w:next w:val="Normal"/>
    <w:uiPriority w:val="39"/>
    <w:unhideWhenUsed/>
    <w:qFormat/>
    <w:rsid w:val="00A115D5"/>
    <w:pPr>
      <w:spacing w:before="0" w:line="276" w:lineRule="auto"/>
      <w:outlineLvl w:val="9"/>
    </w:pPr>
    <w:rPr>
      <w:rFonts w:cs="Arial"/>
      <w:b/>
      <w:bCs/>
      <w:sz w:val="28"/>
      <w:szCs w:val="28"/>
      <w:lang w:eastAsia="pt-BR"/>
    </w:rPr>
  </w:style>
  <w:style w:type="character" w:styleId="Forte">
    <w:name w:val="Strong"/>
    <w:basedOn w:val="Fontepargpadro"/>
    <w:uiPriority w:val="22"/>
    <w:qFormat/>
    <w:rsid w:val="00A115D5"/>
    <w:rPr>
      <w:b/>
      <w:bCs/>
    </w:rPr>
  </w:style>
  <w:style w:type="character" w:customStyle="1" w:styleId="fontstyle01">
    <w:name w:val="fontstyle01"/>
    <w:basedOn w:val="Fontepargpadro"/>
    <w:rsid w:val="00A115D5"/>
    <w:rPr>
      <w:rFonts w:ascii="Arial" w:hAnsi="Arial" w:cs="Arial" w:hint="default"/>
      <w:b w:val="0"/>
      <w:bCs w:val="0"/>
      <w:i w:val="0"/>
      <w:iCs w:val="0"/>
      <w:color w:val="000000"/>
      <w:sz w:val="24"/>
      <w:szCs w:val="24"/>
    </w:rPr>
  </w:style>
  <w:style w:type="paragraph" w:customStyle="1" w:styleId="PargrafodaLista1">
    <w:name w:val="Parágrafo da Lista1"/>
    <w:basedOn w:val="Normal"/>
    <w:uiPriority w:val="34"/>
    <w:rsid w:val="00A115D5"/>
    <w:pPr>
      <w:suppressAutoHyphens/>
      <w:spacing w:after="0" w:line="360" w:lineRule="auto"/>
      <w:ind w:firstLine="851"/>
      <w:jc w:val="both"/>
    </w:pPr>
    <w:rPr>
      <w:rFonts w:ascii="Times New Roman" w:eastAsia="Times New Roman" w:hAnsi="Times New Roman"/>
      <w:sz w:val="24"/>
      <w:szCs w:val="24"/>
    </w:rPr>
  </w:style>
  <w:style w:type="paragraph" w:styleId="Sumrio2">
    <w:name w:val="toc 2"/>
    <w:basedOn w:val="Normal"/>
    <w:next w:val="Normal"/>
    <w:autoRedefine/>
    <w:uiPriority w:val="39"/>
    <w:unhideWhenUsed/>
    <w:rsid w:val="00A115D5"/>
    <w:pPr>
      <w:tabs>
        <w:tab w:val="right" w:leader="dot" w:pos="9061"/>
      </w:tabs>
      <w:spacing w:after="0" w:line="360" w:lineRule="auto"/>
      <w:ind w:left="709" w:hanging="709"/>
      <w:jc w:val="both"/>
    </w:pPr>
    <w:rPr>
      <w:rFonts w:ascii="Arial" w:eastAsiaTheme="minorHAnsi" w:hAnsi="Arial" w:cstheme="minorBidi"/>
      <w:sz w:val="24"/>
    </w:rPr>
  </w:style>
  <w:style w:type="paragraph" w:styleId="Legenda">
    <w:name w:val="caption"/>
    <w:basedOn w:val="Normal"/>
    <w:next w:val="Normal"/>
    <w:uiPriority w:val="35"/>
    <w:unhideWhenUsed/>
    <w:qFormat/>
    <w:rsid w:val="00A115D5"/>
    <w:pPr>
      <w:spacing w:after="200" w:line="240" w:lineRule="auto"/>
      <w:ind w:firstLine="851"/>
      <w:jc w:val="both"/>
    </w:pPr>
    <w:rPr>
      <w:rFonts w:ascii="Arial" w:eastAsiaTheme="minorHAnsi" w:hAnsi="Arial" w:cstheme="minorBidi"/>
      <w:i/>
      <w:iCs/>
      <w:color w:val="44546A" w:themeColor="text2"/>
      <w:sz w:val="18"/>
      <w:szCs w:val="18"/>
    </w:rPr>
  </w:style>
  <w:style w:type="paragraph" w:styleId="Sumrio3">
    <w:name w:val="toc 3"/>
    <w:basedOn w:val="Normal"/>
    <w:next w:val="Normal"/>
    <w:autoRedefine/>
    <w:uiPriority w:val="39"/>
    <w:unhideWhenUsed/>
    <w:rsid w:val="00A115D5"/>
    <w:pPr>
      <w:spacing w:after="0" w:line="360" w:lineRule="auto"/>
      <w:ind w:left="709" w:hanging="709"/>
      <w:jc w:val="both"/>
    </w:pPr>
    <w:rPr>
      <w:rFonts w:ascii="Arial" w:eastAsiaTheme="minorHAnsi" w:hAnsi="Arial" w:cstheme="minorBidi"/>
      <w:sz w:val="24"/>
    </w:rPr>
  </w:style>
  <w:style w:type="character" w:customStyle="1" w:styleId="fontstyle21">
    <w:name w:val="fontstyle21"/>
    <w:basedOn w:val="Fontepargpadro"/>
    <w:rsid w:val="00A115D5"/>
    <w:rPr>
      <w:rFonts w:ascii="Arial" w:hAnsi="Arial" w:cs="Arial" w:hint="default"/>
      <w:b/>
      <w:bCs/>
      <w:i w:val="0"/>
      <w:iCs w:val="0"/>
      <w:color w:val="000000"/>
      <w:sz w:val="24"/>
      <w:szCs w:val="24"/>
    </w:rPr>
  </w:style>
  <w:style w:type="character" w:styleId="nfase">
    <w:name w:val="Emphasis"/>
    <w:basedOn w:val="Fontepargpadro"/>
    <w:uiPriority w:val="20"/>
    <w:qFormat/>
    <w:rsid w:val="00A115D5"/>
    <w:rPr>
      <w:i/>
      <w:iCs/>
    </w:rPr>
  </w:style>
  <w:style w:type="paragraph" w:customStyle="1" w:styleId="CitaoLonga0">
    <w:name w:val="Citação Longa"/>
    <w:basedOn w:val="NormalWeb"/>
    <w:qFormat/>
    <w:rsid w:val="00A115D5"/>
    <w:pPr>
      <w:spacing w:before="0" w:beforeAutospacing="0" w:after="120" w:afterAutospacing="0"/>
      <w:ind w:left="2268"/>
      <w:jc w:val="both"/>
    </w:pPr>
    <w:rPr>
      <w:rFonts w:ascii="Arial" w:hAnsi="Arial" w:cs="Arial"/>
      <w:sz w:val="20"/>
      <w:szCs w:val="24"/>
      <w:shd w:val="clear" w:color="auto" w:fill="FFFFFF"/>
    </w:rPr>
  </w:style>
  <w:style w:type="paragraph" w:customStyle="1" w:styleId="ReferenciaABNT">
    <w:name w:val="Referencia ABNT"/>
    <w:basedOn w:val="Normal"/>
    <w:qFormat/>
    <w:rsid w:val="00A115D5"/>
    <w:pPr>
      <w:spacing w:after="240" w:line="240" w:lineRule="auto"/>
    </w:pPr>
    <w:rPr>
      <w:rFonts w:ascii="Arial" w:eastAsiaTheme="minorHAnsi" w:hAnsi="Arial" w:cs="Arial"/>
      <w:szCs w:val="24"/>
      <w:shd w:val="clear" w:color="auto" w:fill="FFFFFF"/>
    </w:rPr>
  </w:style>
  <w:style w:type="paragraph" w:styleId="Ttulo">
    <w:name w:val="Title"/>
    <w:basedOn w:val="Normal"/>
    <w:next w:val="Normal"/>
    <w:link w:val="TtuloChar"/>
    <w:uiPriority w:val="10"/>
    <w:qFormat/>
    <w:rsid w:val="00692F4D"/>
    <w:pPr>
      <w:keepNext/>
      <w:keepLines/>
      <w:widowControl w:val="0"/>
      <w:spacing w:before="480" w:after="120" w:line="360" w:lineRule="auto"/>
      <w:ind w:firstLine="709"/>
      <w:jc w:val="both"/>
    </w:pPr>
    <w:rPr>
      <w:rFonts w:ascii="Times New Roman" w:eastAsia="Times New Roman" w:hAnsi="Times New Roman"/>
      <w:b/>
      <w:sz w:val="72"/>
      <w:szCs w:val="72"/>
      <w:lang w:eastAsia="ja-JP"/>
    </w:rPr>
  </w:style>
  <w:style w:type="character" w:customStyle="1" w:styleId="TtuloChar">
    <w:name w:val="Título Char"/>
    <w:basedOn w:val="Fontepargpadro"/>
    <w:link w:val="Ttulo"/>
    <w:uiPriority w:val="10"/>
    <w:rsid w:val="00692F4D"/>
    <w:rPr>
      <w:rFonts w:ascii="Times New Roman" w:eastAsia="Times New Roman" w:hAnsi="Times New Roman" w:cs="Times New Roman"/>
      <w:b/>
      <w:sz w:val="72"/>
      <w:szCs w:val="72"/>
      <w:lang w:eastAsia="ja-JP"/>
    </w:rPr>
  </w:style>
  <w:style w:type="paragraph" w:customStyle="1" w:styleId="Normal0">
    <w:name w:val="Normal0"/>
    <w:qFormat/>
    <w:rsid w:val="00692F4D"/>
    <w:pPr>
      <w:spacing w:after="0" w:line="360" w:lineRule="auto"/>
      <w:ind w:firstLine="709"/>
      <w:jc w:val="both"/>
    </w:pPr>
    <w:rPr>
      <w:rFonts w:ascii="Times New Roman" w:eastAsia="Times New Roman" w:hAnsi="Times New Roman" w:cs="Times New Roman"/>
      <w:sz w:val="24"/>
      <w:szCs w:val="24"/>
      <w:lang w:eastAsia="ja-JP"/>
    </w:rPr>
  </w:style>
  <w:style w:type="paragraph" w:customStyle="1" w:styleId="heading10">
    <w:name w:val="heading 10"/>
    <w:basedOn w:val="Normal0"/>
    <w:next w:val="Normal0"/>
    <w:uiPriority w:val="9"/>
    <w:qFormat/>
    <w:rsid w:val="00692F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customStyle="1" w:styleId="heading20">
    <w:name w:val="heading 20"/>
    <w:basedOn w:val="Normal0"/>
    <w:next w:val="Normal0"/>
    <w:uiPriority w:val="9"/>
    <w:unhideWhenUsed/>
    <w:qFormat/>
    <w:rsid w:val="00692F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0">
    <w:name w:val="heading 30"/>
    <w:basedOn w:val="Normal0"/>
    <w:uiPriority w:val="9"/>
    <w:qFormat/>
    <w:rsid w:val="00692F4D"/>
    <w:pPr>
      <w:spacing w:before="100" w:beforeAutospacing="1" w:after="100" w:afterAutospacing="1" w:line="240" w:lineRule="auto"/>
      <w:outlineLvl w:val="2"/>
    </w:pPr>
    <w:rPr>
      <w:b/>
      <w:bCs/>
      <w:sz w:val="27"/>
      <w:szCs w:val="27"/>
      <w:lang w:eastAsia="pt-BR"/>
    </w:rPr>
  </w:style>
  <w:style w:type="paragraph" w:customStyle="1" w:styleId="ReferenciasArtigo">
    <w:name w:val="Referencias Artigo"/>
    <w:basedOn w:val="Normal0"/>
    <w:qFormat/>
    <w:rsid w:val="00692F4D"/>
    <w:pPr>
      <w:widowControl w:val="0"/>
      <w:suppressLineNumbers/>
      <w:suppressAutoHyphens/>
      <w:spacing w:after="360" w:line="240" w:lineRule="auto"/>
      <w:ind w:firstLine="0"/>
      <w:jc w:val="left"/>
    </w:pPr>
    <w:rPr>
      <w:rFonts w:eastAsia="Roboto" w:cs="Roboto"/>
      <w:color w:val="222222"/>
      <w:sz w:val="22"/>
    </w:rPr>
  </w:style>
  <w:style w:type="character" w:customStyle="1" w:styleId="gd">
    <w:name w:val="gd"/>
    <w:basedOn w:val="Fontepargpadro"/>
    <w:rsid w:val="00692F4D"/>
  </w:style>
  <w:style w:type="paragraph" w:customStyle="1" w:styleId="QuadroseTabelas">
    <w:name w:val="Quadros e Tabelas"/>
    <w:basedOn w:val="Normal0"/>
    <w:qFormat/>
    <w:rsid w:val="00692F4D"/>
    <w:pPr>
      <w:widowControl w:val="0"/>
      <w:suppressLineNumbers/>
      <w:suppressAutoHyphens/>
      <w:ind w:firstLine="0"/>
    </w:pPr>
    <w:rPr>
      <w:rFonts w:ascii="Arial Narrow" w:hAnsi="Arial Narrow" w:cs="Arial"/>
      <w:sz w:val="20"/>
    </w:rPr>
  </w:style>
  <w:style w:type="paragraph" w:customStyle="1" w:styleId="Title0">
    <w:name w:val="Title0"/>
    <w:basedOn w:val="Normal0"/>
    <w:next w:val="Normal0"/>
    <w:uiPriority w:val="10"/>
    <w:qFormat/>
    <w:rsid w:val="00692F4D"/>
    <w:pPr>
      <w:keepNext/>
      <w:keepLines/>
      <w:widowControl w:val="0"/>
      <w:suppressLineNumbers/>
      <w:suppressAutoHyphens/>
      <w:spacing w:before="480" w:after="120"/>
    </w:pPr>
    <w:rPr>
      <w:rFonts w:eastAsia="Calibri" w:cs="Calibri"/>
      <w:b/>
      <w:sz w:val="72"/>
      <w:szCs w:val="72"/>
      <w:lang w:eastAsia="pt-BR"/>
    </w:rPr>
  </w:style>
  <w:style w:type="paragraph" w:styleId="Commarcadores">
    <w:name w:val="List Bullet"/>
    <w:basedOn w:val="Normal0"/>
    <w:uiPriority w:val="99"/>
    <w:unhideWhenUsed/>
    <w:rsid w:val="00692F4D"/>
    <w:pPr>
      <w:numPr>
        <w:numId w:val="43"/>
      </w:numPr>
      <w:contextualSpacing/>
    </w:pPr>
  </w:style>
  <w:style w:type="character" w:customStyle="1" w:styleId="TextodenotadefimChar">
    <w:name w:val="Texto de nota de fim Char"/>
    <w:basedOn w:val="Fontepargpadro"/>
    <w:link w:val="Textodenotadefim"/>
    <w:uiPriority w:val="99"/>
    <w:semiHidden/>
    <w:rsid w:val="00692F4D"/>
    <w:rPr>
      <w:rFonts w:ascii="Times New Roman" w:eastAsia="Times New Roman" w:hAnsi="Times New Roman" w:cs="Times New Roman"/>
      <w:sz w:val="20"/>
      <w:szCs w:val="20"/>
      <w:lang w:eastAsia="ja-JP"/>
    </w:rPr>
  </w:style>
  <w:style w:type="paragraph" w:styleId="Textodenotadefim">
    <w:name w:val="endnote text"/>
    <w:basedOn w:val="Normal0"/>
    <w:link w:val="TextodenotadefimChar"/>
    <w:uiPriority w:val="99"/>
    <w:semiHidden/>
    <w:unhideWhenUsed/>
    <w:rsid w:val="00692F4D"/>
    <w:pPr>
      <w:spacing w:line="240" w:lineRule="auto"/>
    </w:pPr>
    <w:rPr>
      <w:sz w:val="20"/>
      <w:szCs w:val="20"/>
    </w:rPr>
  </w:style>
  <w:style w:type="paragraph" w:customStyle="1" w:styleId="Subtitle0">
    <w:name w:val="Subtitle0"/>
    <w:basedOn w:val="Normal0"/>
    <w:next w:val="Normal0"/>
    <w:rsid w:val="00692F4D"/>
    <w:rPr>
      <w:color w:val="5A5A5A"/>
    </w:rPr>
  </w:style>
  <w:style w:type="table" w:customStyle="1" w:styleId="TableNormal">
    <w:name w:val="Table Normal"/>
    <w:uiPriority w:val="2"/>
    <w:semiHidden/>
    <w:unhideWhenUsed/>
    <w:qFormat/>
    <w:rsid w:val="00A02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rpodetextorecuado">
    <w:name w:val="Corpo de texto recuado"/>
    <w:basedOn w:val="Normal"/>
    <w:qFormat/>
    <w:rsid w:val="00EB2746"/>
    <w:pPr>
      <w:spacing w:after="200" w:line="276" w:lineRule="auto"/>
    </w:pPr>
    <w:rPr>
      <w:rFonts w:ascii="Arial" w:eastAsia="Times New Roman" w:hAnsi="Arial"/>
      <w:sz w:val="20"/>
      <w:szCs w:val="20"/>
      <w:lang w:val="en-US"/>
    </w:rPr>
  </w:style>
  <w:style w:type="character" w:styleId="TextodoEspaoReservado">
    <w:name w:val="Placeholder Text"/>
    <w:basedOn w:val="Fontepargpadro"/>
    <w:uiPriority w:val="99"/>
    <w:semiHidden/>
    <w:rsid w:val="00DC3D53"/>
    <w:rPr>
      <w:color w:val="808080"/>
    </w:rPr>
  </w:style>
  <w:style w:type="paragraph" w:customStyle="1" w:styleId="msonormal0">
    <w:name w:val="msonormal"/>
    <w:basedOn w:val="Normal"/>
    <w:rsid w:val="00DC3D53"/>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06033">
      <w:bodyDiv w:val="1"/>
      <w:marLeft w:val="0"/>
      <w:marRight w:val="0"/>
      <w:marTop w:val="0"/>
      <w:marBottom w:val="0"/>
      <w:divBdr>
        <w:top w:val="none" w:sz="0" w:space="0" w:color="auto"/>
        <w:left w:val="none" w:sz="0" w:space="0" w:color="auto"/>
        <w:bottom w:val="none" w:sz="0" w:space="0" w:color="auto"/>
        <w:right w:val="none" w:sz="0" w:space="0" w:color="auto"/>
      </w:divBdr>
      <w:divsChild>
        <w:div w:id="1013261399">
          <w:marLeft w:val="0"/>
          <w:marRight w:val="0"/>
          <w:marTop w:val="0"/>
          <w:marBottom w:val="0"/>
          <w:divBdr>
            <w:top w:val="none" w:sz="0" w:space="0" w:color="auto"/>
            <w:left w:val="none" w:sz="0" w:space="0" w:color="auto"/>
            <w:bottom w:val="none" w:sz="0" w:space="0" w:color="auto"/>
            <w:right w:val="none" w:sz="0" w:space="0" w:color="auto"/>
          </w:divBdr>
        </w:div>
      </w:divsChild>
    </w:div>
    <w:div w:id="1273320493">
      <w:bodyDiv w:val="1"/>
      <w:marLeft w:val="0"/>
      <w:marRight w:val="0"/>
      <w:marTop w:val="0"/>
      <w:marBottom w:val="0"/>
      <w:divBdr>
        <w:top w:val="none" w:sz="0" w:space="0" w:color="auto"/>
        <w:left w:val="none" w:sz="0" w:space="0" w:color="auto"/>
        <w:bottom w:val="none" w:sz="0" w:space="0" w:color="auto"/>
        <w:right w:val="none" w:sz="0" w:space="0" w:color="auto"/>
      </w:divBdr>
    </w:div>
    <w:div w:id="1544125820">
      <w:bodyDiv w:val="1"/>
      <w:marLeft w:val="0"/>
      <w:marRight w:val="0"/>
      <w:marTop w:val="0"/>
      <w:marBottom w:val="0"/>
      <w:divBdr>
        <w:top w:val="none" w:sz="0" w:space="0" w:color="auto"/>
        <w:left w:val="none" w:sz="0" w:space="0" w:color="auto"/>
        <w:bottom w:val="none" w:sz="0" w:space="0" w:color="auto"/>
        <w:right w:val="none" w:sz="0" w:space="0" w:color="auto"/>
      </w:divBdr>
      <w:divsChild>
        <w:div w:id="1518736584">
          <w:marLeft w:val="0"/>
          <w:marRight w:val="0"/>
          <w:marTop w:val="0"/>
          <w:marBottom w:val="0"/>
          <w:divBdr>
            <w:top w:val="none" w:sz="0" w:space="0" w:color="auto"/>
            <w:left w:val="none" w:sz="0" w:space="0" w:color="auto"/>
            <w:bottom w:val="none" w:sz="0" w:space="0" w:color="auto"/>
            <w:right w:val="none" w:sz="0" w:space="0" w:color="auto"/>
          </w:divBdr>
        </w:div>
      </w:divsChild>
    </w:div>
    <w:div w:id="1575779098">
      <w:bodyDiv w:val="1"/>
      <w:marLeft w:val="0"/>
      <w:marRight w:val="0"/>
      <w:marTop w:val="0"/>
      <w:marBottom w:val="0"/>
      <w:divBdr>
        <w:top w:val="none" w:sz="0" w:space="0" w:color="auto"/>
        <w:left w:val="none" w:sz="0" w:space="0" w:color="auto"/>
        <w:bottom w:val="none" w:sz="0" w:space="0" w:color="auto"/>
        <w:right w:val="none" w:sz="0" w:space="0" w:color="auto"/>
      </w:divBdr>
      <w:divsChild>
        <w:div w:id="1617100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138/9781442673496-0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FSC%20Erves%20Ducati\Downloads\Checklist%20para%20calcular%20IGOV-Ban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FSC%20Erves%20Ducati\Downloads\Checklist%20para%20calcular%20IGOV-Ban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FSC%20Erves%20Ducati\Downloads\Checklist%20para%20calcular%20IGOV-Banc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FSC%20Erves%20Ducati\Downloads\Checklist%20para%20calcular%20IGOV-Banc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FSC%20Erves%20Ducati\Downloads\C&#243;pia%20de%20Checklist%20para%20calcular%20IGOV-Bancos(10946).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DADOS!$D$39</c:f>
              <c:strCache>
                <c:ptCount val="1"/>
                <c:pt idx="0">
                  <c:v>SIM</c:v>
                </c:pt>
              </c:strCache>
            </c:strRef>
          </c:tx>
          <c:spPr>
            <a:solidFill>
              <a:schemeClr val="accent1"/>
            </a:solidFill>
            <a:ln>
              <a:noFill/>
            </a:ln>
            <a:effectLst/>
            <a:sp3d/>
          </c:spPr>
          <c:invertIfNegative val="0"/>
          <c:cat>
            <c:numRef>
              <c:f>DADOS!$E$38:$S$38</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DADOS!$E$39:$S$39</c:f>
              <c:numCache>
                <c:formatCode>General</c:formatCode>
                <c:ptCount val="15"/>
                <c:pt idx="0">
                  <c:v>10</c:v>
                </c:pt>
                <c:pt idx="2">
                  <c:v>10</c:v>
                </c:pt>
                <c:pt idx="4">
                  <c:v>10</c:v>
                </c:pt>
                <c:pt idx="6">
                  <c:v>10</c:v>
                </c:pt>
                <c:pt idx="8">
                  <c:v>10</c:v>
                </c:pt>
                <c:pt idx="10">
                  <c:v>10</c:v>
                </c:pt>
                <c:pt idx="12">
                  <c:v>9</c:v>
                </c:pt>
                <c:pt idx="14">
                  <c:v>10</c:v>
                </c:pt>
              </c:numCache>
            </c:numRef>
          </c:val>
          <c:extLst>
            <c:ext xmlns:c16="http://schemas.microsoft.com/office/drawing/2014/chart" uri="{C3380CC4-5D6E-409C-BE32-E72D297353CC}">
              <c16:uniqueId val="{00000000-6C38-484C-815E-8C1F4C19608D}"/>
            </c:ext>
          </c:extLst>
        </c:ser>
        <c:ser>
          <c:idx val="1"/>
          <c:order val="1"/>
          <c:tx>
            <c:strRef>
              <c:f>DADOS!$D$40</c:f>
              <c:strCache>
                <c:ptCount val="1"/>
                <c:pt idx="0">
                  <c:v>NÃO</c:v>
                </c:pt>
              </c:strCache>
            </c:strRef>
          </c:tx>
          <c:spPr>
            <a:solidFill>
              <a:schemeClr val="accent2"/>
            </a:solidFill>
            <a:ln>
              <a:noFill/>
            </a:ln>
            <a:effectLst/>
            <a:sp3d/>
          </c:spPr>
          <c:invertIfNegative val="0"/>
          <c:cat>
            <c:numRef>
              <c:f>DADOS!$E$38:$S$38</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DADOS!$E$40:$S$40</c:f>
              <c:numCache>
                <c:formatCode>General</c:formatCode>
                <c:ptCount val="15"/>
                <c:pt idx="0">
                  <c:v>0</c:v>
                </c:pt>
                <c:pt idx="2">
                  <c:v>0</c:v>
                </c:pt>
                <c:pt idx="4">
                  <c:v>0</c:v>
                </c:pt>
                <c:pt idx="6">
                  <c:v>0</c:v>
                </c:pt>
                <c:pt idx="8">
                  <c:v>0</c:v>
                </c:pt>
                <c:pt idx="10">
                  <c:v>0</c:v>
                </c:pt>
                <c:pt idx="12">
                  <c:v>1</c:v>
                </c:pt>
                <c:pt idx="14">
                  <c:v>0</c:v>
                </c:pt>
              </c:numCache>
            </c:numRef>
          </c:val>
          <c:extLst>
            <c:ext xmlns:c16="http://schemas.microsoft.com/office/drawing/2014/chart" uri="{C3380CC4-5D6E-409C-BE32-E72D297353CC}">
              <c16:uniqueId val="{00000001-6C38-484C-815E-8C1F4C19608D}"/>
            </c:ext>
          </c:extLst>
        </c:ser>
        <c:ser>
          <c:idx val="2"/>
          <c:order val="2"/>
          <c:tx>
            <c:strRef>
              <c:f>DADOS!$D$41</c:f>
              <c:strCache>
                <c:ptCount val="1"/>
                <c:pt idx="0">
                  <c:v>-</c:v>
                </c:pt>
              </c:strCache>
            </c:strRef>
          </c:tx>
          <c:spPr>
            <a:solidFill>
              <a:schemeClr val="accent3"/>
            </a:solidFill>
            <a:ln>
              <a:noFill/>
            </a:ln>
            <a:effectLst/>
            <a:sp3d/>
          </c:spPr>
          <c:invertIfNegative val="0"/>
          <c:cat>
            <c:numRef>
              <c:f>DADOS!$E$38:$S$38</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DADOS!$E$41:$S$41</c:f>
              <c:numCache>
                <c:formatCode>General</c:formatCode>
                <c:ptCount val="15"/>
                <c:pt idx="0">
                  <c:v>0</c:v>
                </c:pt>
                <c:pt idx="2">
                  <c:v>0</c:v>
                </c:pt>
                <c:pt idx="4">
                  <c:v>0</c:v>
                </c:pt>
                <c:pt idx="6">
                  <c:v>0</c:v>
                </c:pt>
                <c:pt idx="8">
                  <c:v>0</c:v>
                </c:pt>
                <c:pt idx="10">
                  <c:v>0</c:v>
                </c:pt>
                <c:pt idx="12">
                  <c:v>0</c:v>
                </c:pt>
                <c:pt idx="14">
                  <c:v>0</c:v>
                </c:pt>
              </c:numCache>
            </c:numRef>
          </c:val>
          <c:extLst>
            <c:ext xmlns:c16="http://schemas.microsoft.com/office/drawing/2014/chart" uri="{C3380CC4-5D6E-409C-BE32-E72D297353CC}">
              <c16:uniqueId val="{00000002-6C38-484C-815E-8C1F4C19608D}"/>
            </c:ext>
          </c:extLst>
        </c:ser>
        <c:dLbls>
          <c:showLegendKey val="0"/>
          <c:showVal val="0"/>
          <c:showCatName val="0"/>
          <c:showSerName val="0"/>
          <c:showPercent val="0"/>
          <c:showBubbleSize val="0"/>
        </c:dLbls>
        <c:gapWidth val="150"/>
        <c:shape val="box"/>
        <c:axId val="2138402783"/>
        <c:axId val="889926623"/>
        <c:axId val="0"/>
      </c:bar3DChart>
      <c:catAx>
        <c:axId val="21384027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89926623"/>
        <c:crosses val="autoZero"/>
        <c:auto val="1"/>
        <c:lblAlgn val="ctr"/>
        <c:lblOffset val="100"/>
        <c:noMultiLvlLbl val="0"/>
      </c:catAx>
      <c:valAx>
        <c:axId val="889926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138402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544750962073802E-2"/>
          <c:y val="0.21243233940019793"/>
          <c:w val="0.89131582328432724"/>
          <c:h val="0.68812357471709484"/>
        </c:manualLayout>
      </c:layout>
      <c:bar3DChart>
        <c:barDir val="col"/>
        <c:grouping val="clustered"/>
        <c:varyColors val="0"/>
        <c:ser>
          <c:idx val="0"/>
          <c:order val="0"/>
          <c:tx>
            <c:strRef>
              <c:f>DADOS!$D$35</c:f>
              <c:strCache>
                <c:ptCount val="1"/>
                <c:pt idx="0">
                  <c:v>SIM</c:v>
                </c:pt>
              </c:strCache>
            </c:strRef>
          </c:tx>
          <c:spPr>
            <a:solidFill>
              <a:schemeClr val="accent1"/>
            </a:solidFill>
            <a:ln>
              <a:noFill/>
            </a:ln>
            <a:effectLst/>
            <a:sp3d/>
          </c:spPr>
          <c:invertIfNegative val="0"/>
          <c:cat>
            <c:numRef>
              <c:f>DADOS!$E$34:$T$34</c:f>
              <c:numCache>
                <c:formatCode>General</c:formatCode>
                <c:ptCount val="16"/>
                <c:pt idx="0">
                  <c:v>2015</c:v>
                </c:pt>
                <c:pt idx="2">
                  <c:v>2016</c:v>
                </c:pt>
                <c:pt idx="4">
                  <c:v>2017</c:v>
                </c:pt>
                <c:pt idx="6">
                  <c:v>2018</c:v>
                </c:pt>
                <c:pt idx="8">
                  <c:v>2019</c:v>
                </c:pt>
                <c:pt idx="10">
                  <c:v>2020</c:v>
                </c:pt>
                <c:pt idx="12">
                  <c:v>2021</c:v>
                </c:pt>
                <c:pt idx="14">
                  <c:v>2022</c:v>
                </c:pt>
              </c:numCache>
            </c:numRef>
          </c:cat>
          <c:val>
            <c:numRef>
              <c:f>DADOS!$E$35:$T$35</c:f>
              <c:numCache>
                <c:formatCode>General</c:formatCode>
                <c:ptCount val="16"/>
                <c:pt idx="0">
                  <c:v>9</c:v>
                </c:pt>
                <c:pt idx="2">
                  <c:v>8</c:v>
                </c:pt>
                <c:pt idx="4">
                  <c:v>8</c:v>
                </c:pt>
                <c:pt idx="6">
                  <c:v>8</c:v>
                </c:pt>
                <c:pt idx="8">
                  <c:v>8</c:v>
                </c:pt>
                <c:pt idx="10">
                  <c:v>9</c:v>
                </c:pt>
                <c:pt idx="12">
                  <c:v>9</c:v>
                </c:pt>
                <c:pt idx="14">
                  <c:v>11</c:v>
                </c:pt>
              </c:numCache>
            </c:numRef>
          </c:val>
          <c:extLst>
            <c:ext xmlns:c16="http://schemas.microsoft.com/office/drawing/2014/chart" uri="{C3380CC4-5D6E-409C-BE32-E72D297353CC}">
              <c16:uniqueId val="{00000000-C073-49B1-AE02-05C0C5134B83}"/>
            </c:ext>
          </c:extLst>
        </c:ser>
        <c:ser>
          <c:idx val="1"/>
          <c:order val="1"/>
          <c:tx>
            <c:strRef>
              <c:f>DADOS!$D$36</c:f>
              <c:strCache>
                <c:ptCount val="1"/>
                <c:pt idx="0">
                  <c:v>NÃO</c:v>
                </c:pt>
              </c:strCache>
            </c:strRef>
          </c:tx>
          <c:spPr>
            <a:solidFill>
              <a:schemeClr val="accent2"/>
            </a:solidFill>
            <a:ln>
              <a:noFill/>
            </a:ln>
            <a:effectLst/>
            <a:sp3d/>
          </c:spPr>
          <c:invertIfNegative val="0"/>
          <c:cat>
            <c:numRef>
              <c:f>DADOS!$E$34:$T$34</c:f>
              <c:numCache>
                <c:formatCode>General</c:formatCode>
                <c:ptCount val="16"/>
                <c:pt idx="0">
                  <c:v>2015</c:v>
                </c:pt>
                <c:pt idx="2">
                  <c:v>2016</c:v>
                </c:pt>
                <c:pt idx="4">
                  <c:v>2017</c:v>
                </c:pt>
                <c:pt idx="6">
                  <c:v>2018</c:v>
                </c:pt>
                <c:pt idx="8">
                  <c:v>2019</c:v>
                </c:pt>
                <c:pt idx="10">
                  <c:v>2020</c:v>
                </c:pt>
                <c:pt idx="12">
                  <c:v>2021</c:v>
                </c:pt>
                <c:pt idx="14">
                  <c:v>2022</c:v>
                </c:pt>
              </c:numCache>
            </c:numRef>
          </c:cat>
          <c:val>
            <c:numRef>
              <c:f>DADOS!$E$36:$T$36</c:f>
              <c:numCache>
                <c:formatCode>General</c:formatCode>
                <c:ptCount val="16"/>
                <c:pt idx="0">
                  <c:v>8</c:v>
                </c:pt>
                <c:pt idx="2">
                  <c:v>9</c:v>
                </c:pt>
                <c:pt idx="4">
                  <c:v>9</c:v>
                </c:pt>
                <c:pt idx="6">
                  <c:v>9</c:v>
                </c:pt>
                <c:pt idx="8">
                  <c:v>9</c:v>
                </c:pt>
                <c:pt idx="10">
                  <c:v>8</c:v>
                </c:pt>
                <c:pt idx="12">
                  <c:v>8</c:v>
                </c:pt>
                <c:pt idx="14">
                  <c:v>6</c:v>
                </c:pt>
              </c:numCache>
            </c:numRef>
          </c:val>
          <c:extLst>
            <c:ext xmlns:c16="http://schemas.microsoft.com/office/drawing/2014/chart" uri="{C3380CC4-5D6E-409C-BE32-E72D297353CC}">
              <c16:uniqueId val="{00000001-C073-49B1-AE02-05C0C5134B83}"/>
            </c:ext>
          </c:extLst>
        </c:ser>
        <c:ser>
          <c:idx val="2"/>
          <c:order val="2"/>
          <c:tx>
            <c:strRef>
              <c:f>DADOS!$D$37</c:f>
              <c:strCache>
                <c:ptCount val="1"/>
                <c:pt idx="0">
                  <c:v>-</c:v>
                </c:pt>
              </c:strCache>
            </c:strRef>
          </c:tx>
          <c:spPr>
            <a:solidFill>
              <a:schemeClr val="accent3"/>
            </a:solidFill>
            <a:ln>
              <a:noFill/>
            </a:ln>
            <a:effectLst/>
            <a:sp3d/>
          </c:spPr>
          <c:invertIfNegative val="0"/>
          <c:cat>
            <c:numRef>
              <c:f>DADOS!$E$34:$T$34</c:f>
              <c:numCache>
                <c:formatCode>General</c:formatCode>
                <c:ptCount val="16"/>
                <c:pt idx="0">
                  <c:v>2015</c:v>
                </c:pt>
                <c:pt idx="2">
                  <c:v>2016</c:v>
                </c:pt>
                <c:pt idx="4">
                  <c:v>2017</c:v>
                </c:pt>
                <c:pt idx="6">
                  <c:v>2018</c:v>
                </c:pt>
                <c:pt idx="8">
                  <c:v>2019</c:v>
                </c:pt>
                <c:pt idx="10">
                  <c:v>2020</c:v>
                </c:pt>
                <c:pt idx="12">
                  <c:v>2021</c:v>
                </c:pt>
                <c:pt idx="14">
                  <c:v>2022</c:v>
                </c:pt>
              </c:numCache>
            </c:numRef>
          </c:cat>
          <c:val>
            <c:numRef>
              <c:f>DADOS!$E$37:$T$37</c:f>
              <c:numCache>
                <c:formatCode>General</c:formatCode>
                <c:ptCount val="16"/>
                <c:pt idx="0">
                  <c:v>2</c:v>
                </c:pt>
                <c:pt idx="2">
                  <c:v>2</c:v>
                </c:pt>
                <c:pt idx="4">
                  <c:v>2</c:v>
                </c:pt>
                <c:pt idx="6">
                  <c:v>2</c:v>
                </c:pt>
                <c:pt idx="8">
                  <c:v>2</c:v>
                </c:pt>
                <c:pt idx="10">
                  <c:v>2</c:v>
                </c:pt>
                <c:pt idx="12">
                  <c:v>2</c:v>
                </c:pt>
                <c:pt idx="14">
                  <c:v>2</c:v>
                </c:pt>
              </c:numCache>
            </c:numRef>
          </c:val>
          <c:extLst>
            <c:ext xmlns:c16="http://schemas.microsoft.com/office/drawing/2014/chart" uri="{C3380CC4-5D6E-409C-BE32-E72D297353CC}">
              <c16:uniqueId val="{00000002-C073-49B1-AE02-05C0C5134B83}"/>
            </c:ext>
          </c:extLst>
        </c:ser>
        <c:dLbls>
          <c:showLegendKey val="0"/>
          <c:showVal val="0"/>
          <c:showCatName val="0"/>
          <c:showSerName val="0"/>
          <c:showPercent val="0"/>
          <c:showBubbleSize val="0"/>
        </c:dLbls>
        <c:gapWidth val="150"/>
        <c:shape val="box"/>
        <c:axId val="884911679"/>
        <c:axId val="813124991"/>
        <c:axId val="0"/>
      </c:bar3DChart>
      <c:catAx>
        <c:axId val="8849116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13124991"/>
        <c:crosses val="autoZero"/>
        <c:auto val="1"/>
        <c:lblAlgn val="ctr"/>
        <c:lblOffset val="100"/>
        <c:noMultiLvlLbl val="0"/>
      </c:catAx>
      <c:valAx>
        <c:axId val="813124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8491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DADOS!$D$70</c:f>
              <c:strCache>
                <c:ptCount val="1"/>
                <c:pt idx="0">
                  <c:v>SIM</c:v>
                </c:pt>
              </c:strCache>
            </c:strRef>
          </c:tx>
          <c:spPr>
            <a:solidFill>
              <a:schemeClr val="accent1"/>
            </a:solidFill>
            <a:ln>
              <a:noFill/>
            </a:ln>
            <a:effectLst/>
            <a:sp3d/>
          </c:spPr>
          <c:invertIfNegative val="0"/>
          <c:cat>
            <c:numRef>
              <c:f>DADOS!$E$69:$S$69</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DADOS!$E$70:$S$70</c:f>
              <c:numCache>
                <c:formatCode>General</c:formatCode>
                <c:ptCount val="15"/>
                <c:pt idx="0">
                  <c:v>9</c:v>
                </c:pt>
                <c:pt idx="2">
                  <c:v>9</c:v>
                </c:pt>
                <c:pt idx="4">
                  <c:v>9</c:v>
                </c:pt>
                <c:pt idx="6">
                  <c:v>9</c:v>
                </c:pt>
                <c:pt idx="8">
                  <c:v>9</c:v>
                </c:pt>
                <c:pt idx="10">
                  <c:v>9</c:v>
                </c:pt>
                <c:pt idx="12">
                  <c:v>7</c:v>
                </c:pt>
                <c:pt idx="14">
                  <c:v>9</c:v>
                </c:pt>
              </c:numCache>
            </c:numRef>
          </c:val>
          <c:extLst>
            <c:ext xmlns:c16="http://schemas.microsoft.com/office/drawing/2014/chart" uri="{C3380CC4-5D6E-409C-BE32-E72D297353CC}">
              <c16:uniqueId val="{00000000-CEC6-4AD6-B50A-9474DDD69597}"/>
            </c:ext>
          </c:extLst>
        </c:ser>
        <c:ser>
          <c:idx val="1"/>
          <c:order val="1"/>
          <c:tx>
            <c:strRef>
              <c:f>DADOS!$D$71</c:f>
              <c:strCache>
                <c:ptCount val="1"/>
                <c:pt idx="0">
                  <c:v>NÃO</c:v>
                </c:pt>
              </c:strCache>
            </c:strRef>
          </c:tx>
          <c:spPr>
            <a:solidFill>
              <a:schemeClr val="accent2"/>
            </a:solidFill>
            <a:ln>
              <a:noFill/>
            </a:ln>
            <a:effectLst/>
            <a:sp3d/>
          </c:spPr>
          <c:invertIfNegative val="0"/>
          <c:cat>
            <c:numRef>
              <c:f>DADOS!$E$69:$S$69</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DADOS!$E$71:$S$71</c:f>
              <c:numCache>
                <c:formatCode>General</c:formatCode>
                <c:ptCount val="15"/>
                <c:pt idx="0">
                  <c:v>1</c:v>
                </c:pt>
                <c:pt idx="2">
                  <c:v>1</c:v>
                </c:pt>
                <c:pt idx="4">
                  <c:v>1</c:v>
                </c:pt>
                <c:pt idx="6">
                  <c:v>1</c:v>
                </c:pt>
                <c:pt idx="8">
                  <c:v>1</c:v>
                </c:pt>
                <c:pt idx="10">
                  <c:v>1</c:v>
                </c:pt>
                <c:pt idx="12">
                  <c:v>1</c:v>
                </c:pt>
                <c:pt idx="14">
                  <c:v>1</c:v>
                </c:pt>
              </c:numCache>
            </c:numRef>
          </c:val>
          <c:extLst>
            <c:ext xmlns:c16="http://schemas.microsoft.com/office/drawing/2014/chart" uri="{C3380CC4-5D6E-409C-BE32-E72D297353CC}">
              <c16:uniqueId val="{00000001-CEC6-4AD6-B50A-9474DDD69597}"/>
            </c:ext>
          </c:extLst>
        </c:ser>
        <c:ser>
          <c:idx val="2"/>
          <c:order val="2"/>
          <c:tx>
            <c:strRef>
              <c:f>DADOS!$D$72</c:f>
              <c:strCache>
                <c:ptCount val="1"/>
                <c:pt idx="0">
                  <c:v>-</c:v>
                </c:pt>
              </c:strCache>
            </c:strRef>
          </c:tx>
          <c:spPr>
            <a:solidFill>
              <a:schemeClr val="accent3"/>
            </a:solidFill>
            <a:ln>
              <a:noFill/>
            </a:ln>
            <a:effectLst/>
            <a:sp3d/>
          </c:spPr>
          <c:invertIfNegative val="0"/>
          <c:cat>
            <c:numRef>
              <c:f>DADOS!$E$69:$S$69</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DADOS!$E$72:$S$72</c:f>
              <c:numCache>
                <c:formatCode>General</c:formatCode>
                <c:ptCount val="15"/>
                <c:pt idx="0">
                  <c:v>0</c:v>
                </c:pt>
                <c:pt idx="2">
                  <c:v>0</c:v>
                </c:pt>
                <c:pt idx="4">
                  <c:v>0</c:v>
                </c:pt>
                <c:pt idx="6">
                  <c:v>0</c:v>
                </c:pt>
                <c:pt idx="8">
                  <c:v>0</c:v>
                </c:pt>
                <c:pt idx="10">
                  <c:v>0</c:v>
                </c:pt>
                <c:pt idx="12">
                  <c:v>0</c:v>
                </c:pt>
                <c:pt idx="14">
                  <c:v>0</c:v>
                </c:pt>
              </c:numCache>
            </c:numRef>
          </c:val>
          <c:extLst>
            <c:ext xmlns:c16="http://schemas.microsoft.com/office/drawing/2014/chart" uri="{C3380CC4-5D6E-409C-BE32-E72D297353CC}">
              <c16:uniqueId val="{00000002-CEC6-4AD6-B50A-9474DDD69597}"/>
            </c:ext>
          </c:extLst>
        </c:ser>
        <c:dLbls>
          <c:showLegendKey val="0"/>
          <c:showVal val="0"/>
          <c:showCatName val="0"/>
          <c:showSerName val="0"/>
          <c:showPercent val="0"/>
          <c:showBubbleSize val="0"/>
        </c:dLbls>
        <c:gapWidth val="150"/>
        <c:shape val="box"/>
        <c:axId val="886666543"/>
        <c:axId val="886767919"/>
        <c:axId val="0"/>
      </c:bar3DChart>
      <c:catAx>
        <c:axId val="8866665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86767919"/>
        <c:crosses val="autoZero"/>
        <c:auto val="1"/>
        <c:lblAlgn val="ctr"/>
        <c:lblOffset val="100"/>
        <c:noMultiLvlLbl val="0"/>
      </c:catAx>
      <c:valAx>
        <c:axId val="886767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8666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DADOS!$D$66</c:f>
              <c:strCache>
                <c:ptCount val="1"/>
                <c:pt idx="0">
                  <c:v>SIM</c:v>
                </c:pt>
              </c:strCache>
            </c:strRef>
          </c:tx>
          <c:spPr>
            <a:solidFill>
              <a:schemeClr val="accent1"/>
            </a:solidFill>
            <a:ln>
              <a:noFill/>
            </a:ln>
            <a:effectLst/>
            <a:sp3d/>
          </c:spPr>
          <c:invertIfNegative val="0"/>
          <c:cat>
            <c:numRef>
              <c:f>DADOS!$E$65:$S$65</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DADOS!$E$66:$S$66</c:f>
              <c:numCache>
                <c:formatCode>General</c:formatCode>
                <c:ptCount val="15"/>
                <c:pt idx="0">
                  <c:v>5</c:v>
                </c:pt>
                <c:pt idx="2">
                  <c:v>5</c:v>
                </c:pt>
                <c:pt idx="4">
                  <c:v>5</c:v>
                </c:pt>
                <c:pt idx="6">
                  <c:v>5</c:v>
                </c:pt>
                <c:pt idx="8">
                  <c:v>5</c:v>
                </c:pt>
                <c:pt idx="10">
                  <c:v>5</c:v>
                </c:pt>
                <c:pt idx="12">
                  <c:v>5</c:v>
                </c:pt>
                <c:pt idx="14">
                  <c:v>5</c:v>
                </c:pt>
              </c:numCache>
            </c:numRef>
          </c:val>
          <c:extLst>
            <c:ext xmlns:c16="http://schemas.microsoft.com/office/drawing/2014/chart" uri="{C3380CC4-5D6E-409C-BE32-E72D297353CC}">
              <c16:uniqueId val="{00000000-0461-4B00-A73C-8FB0890E87E3}"/>
            </c:ext>
          </c:extLst>
        </c:ser>
        <c:ser>
          <c:idx val="1"/>
          <c:order val="1"/>
          <c:tx>
            <c:strRef>
              <c:f>DADOS!$D$67</c:f>
              <c:strCache>
                <c:ptCount val="1"/>
                <c:pt idx="0">
                  <c:v>NÃO</c:v>
                </c:pt>
              </c:strCache>
            </c:strRef>
          </c:tx>
          <c:spPr>
            <a:solidFill>
              <a:schemeClr val="accent2"/>
            </a:solidFill>
            <a:ln>
              <a:noFill/>
            </a:ln>
            <a:effectLst/>
            <a:sp3d/>
          </c:spPr>
          <c:invertIfNegative val="0"/>
          <c:cat>
            <c:numRef>
              <c:f>DADOS!$E$65:$S$65</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DADOS!$E$67:$S$67</c:f>
              <c:numCache>
                <c:formatCode>General</c:formatCode>
                <c:ptCount val="15"/>
                <c:pt idx="0">
                  <c:v>14</c:v>
                </c:pt>
                <c:pt idx="2">
                  <c:v>14</c:v>
                </c:pt>
                <c:pt idx="4">
                  <c:v>14</c:v>
                </c:pt>
                <c:pt idx="6">
                  <c:v>14</c:v>
                </c:pt>
                <c:pt idx="8">
                  <c:v>14</c:v>
                </c:pt>
                <c:pt idx="10">
                  <c:v>14</c:v>
                </c:pt>
                <c:pt idx="12">
                  <c:v>12</c:v>
                </c:pt>
                <c:pt idx="14">
                  <c:v>14</c:v>
                </c:pt>
              </c:numCache>
            </c:numRef>
          </c:val>
          <c:extLst>
            <c:ext xmlns:c16="http://schemas.microsoft.com/office/drawing/2014/chart" uri="{C3380CC4-5D6E-409C-BE32-E72D297353CC}">
              <c16:uniqueId val="{00000001-0461-4B00-A73C-8FB0890E87E3}"/>
            </c:ext>
          </c:extLst>
        </c:ser>
        <c:ser>
          <c:idx val="2"/>
          <c:order val="2"/>
          <c:tx>
            <c:strRef>
              <c:f>DADOS!$D$68</c:f>
              <c:strCache>
                <c:ptCount val="1"/>
                <c:pt idx="0">
                  <c:v>-</c:v>
                </c:pt>
              </c:strCache>
            </c:strRef>
          </c:tx>
          <c:spPr>
            <a:solidFill>
              <a:schemeClr val="accent3"/>
            </a:solidFill>
            <a:ln>
              <a:noFill/>
            </a:ln>
            <a:effectLst/>
            <a:sp3d/>
          </c:spPr>
          <c:invertIfNegative val="0"/>
          <c:cat>
            <c:numRef>
              <c:f>DADOS!$E$65:$S$65</c:f>
              <c:numCache>
                <c:formatCode>General</c:formatCode>
                <c:ptCount val="15"/>
                <c:pt idx="0">
                  <c:v>2015</c:v>
                </c:pt>
                <c:pt idx="2">
                  <c:v>2016</c:v>
                </c:pt>
                <c:pt idx="4">
                  <c:v>2017</c:v>
                </c:pt>
                <c:pt idx="6">
                  <c:v>2018</c:v>
                </c:pt>
                <c:pt idx="8">
                  <c:v>2019</c:v>
                </c:pt>
                <c:pt idx="10">
                  <c:v>2020</c:v>
                </c:pt>
                <c:pt idx="12">
                  <c:v>2021</c:v>
                </c:pt>
                <c:pt idx="14">
                  <c:v>2022</c:v>
                </c:pt>
              </c:numCache>
            </c:numRef>
          </c:cat>
          <c:val>
            <c:numRef>
              <c:f>DADOS!$E$68:$S$68</c:f>
              <c:numCache>
                <c:formatCode>General</c:formatCode>
                <c:ptCount val="15"/>
                <c:pt idx="0">
                  <c:v>0</c:v>
                </c:pt>
                <c:pt idx="2">
                  <c:v>0</c:v>
                </c:pt>
                <c:pt idx="4">
                  <c:v>0</c:v>
                </c:pt>
                <c:pt idx="6">
                  <c:v>0</c:v>
                </c:pt>
                <c:pt idx="8">
                  <c:v>0</c:v>
                </c:pt>
                <c:pt idx="10">
                  <c:v>0</c:v>
                </c:pt>
                <c:pt idx="12">
                  <c:v>2</c:v>
                </c:pt>
                <c:pt idx="14">
                  <c:v>0</c:v>
                </c:pt>
              </c:numCache>
            </c:numRef>
          </c:val>
          <c:extLst>
            <c:ext xmlns:c16="http://schemas.microsoft.com/office/drawing/2014/chart" uri="{C3380CC4-5D6E-409C-BE32-E72D297353CC}">
              <c16:uniqueId val="{00000002-0461-4B00-A73C-8FB0890E87E3}"/>
            </c:ext>
          </c:extLst>
        </c:ser>
        <c:dLbls>
          <c:showLegendKey val="0"/>
          <c:showVal val="0"/>
          <c:showCatName val="0"/>
          <c:showSerName val="0"/>
          <c:showPercent val="0"/>
          <c:showBubbleSize val="0"/>
        </c:dLbls>
        <c:gapWidth val="150"/>
        <c:shape val="box"/>
        <c:axId val="1553584"/>
        <c:axId val="886765519"/>
        <c:axId val="0"/>
      </c:bar3DChart>
      <c:catAx>
        <c:axId val="15535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886765519"/>
        <c:crosses val="autoZero"/>
        <c:auto val="1"/>
        <c:lblAlgn val="ctr"/>
        <c:lblOffset val="100"/>
        <c:noMultiLvlLbl val="0"/>
      </c:catAx>
      <c:valAx>
        <c:axId val="8867655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5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914260717410336E-2"/>
          <c:y val="4.6296296296296294E-2"/>
          <c:w val="0.87753018372703417"/>
          <c:h val="0.73577136191309422"/>
        </c:manualLayout>
      </c:layout>
      <c:scatterChart>
        <c:scatterStyle val="lineMarker"/>
        <c:varyColors val="0"/>
        <c:ser>
          <c:idx val="0"/>
          <c:order val="0"/>
          <c:tx>
            <c:strRef>
              <c:f>'Analise anual'!$C$69</c:f>
              <c:strCache>
                <c:ptCount val="1"/>
                <c:pt idx="0">
                  <c:v>Voluntária</c:v>
                </c:pt>
              </c:strCache>
            </c:strRef>
          </c:tx>
          <c:spPr>
            <a:ln w="19050" cap="rnd">
              <a:noFill/>
              <a:round/>
            </a:ln>
            <a:effectLst/>
          </c:spPr>
          <c:marker>
            <c:symbol val="circle"/>
            <c:size val="5"/>
            <c:spPr>
              <a:solidFill>
                <a:schemeClr val="accent1"/>
              </a:solidFill>
              <a:ln w="9525">
                <a:solidFill>
                  <a:schemeClr val="accent1"/>
                </a:solidFill>
              </a:ln>
              <a:effectLst/>
            </c:spPr>
          </c:marker>
          <c:xVal>
            <c:numRef>
              <c:f>'Analise anual'!$B$70:$B$102</c:f>
              <c:numCache>
                <c:formatCode>General</c:formatCode>
                <c:ptCount val="33"/>
                <c:pt idx="0">
                  <c:v>2015</c:v>
                </c:pt>
                <c:pt idx="1">
                  <c:v>2015</c:v>
                </c:pt>
                <c:pt idx="2">
                  <c:v>2015</c:v>
                </c:pt>
                <c:pt idx="3">
                  <c:v>2015</c:v>
                </c:pt>
                <c:pt idx="4">
                  <c:v>2016</c:v>
                </c:pt>
                <c:pt idx="5">
                  <c:v>2016</c:v>
                </c:pt>
                <c:pt idx="6">
                  <c:v>2016</c:v>
                </c:pt>
                <c:pt idx="7">
                  <c:v>2016</c:v>
                </c:pt>
                <c:pt idx="8">
                  <c:v>2017</c:v>
                </c:pt>
                <c:pt idx="9">
                  <c:v>2017</c:v>
                </c:pt>
                <c:pt idx="10">
                  <c:v>2017</c:v>
                </c:pt>
                <c:pt idx="11">
                  <c:v>2017</c:v>
                </c:pt>
                <c:pt idx="12">
                  <c:v>2018</c:v>
                </c:pt>
                <c:pt idx="13">
                  <c:v>2018</c:v>
                </c:pt>
                <c:pt idx="14">
                  <c:v>2018</c:v>
                </c:pt>
                <c:pt idx="15">
                  <c:v>2018</c:v>
                </c:pt>
                <c:pt idx="16">
                  <c:v>2019</c:v>
                </c:pt>
                <c:pt idx="17">
                  <c:v>2019</c:v>
                </c:pt>
                <c:pt idx="18">
                  <c:v>2019</c:v>
                </c:pt>
                <c:pt idx="19">
                  <c:v>2019</c:v>
                </c:pt>
                <c:pt idx="20">
                  <c:v>2020</c:v>
                </c:pt>
                <c:pt idx="21">
                  <c:v>2020</c:v>
                </c:pt>
                <c:pt idx="22">
                  <c:v>2020</c:v>
                </c:pt>
                <c:pt idx="23">
                  <c:v>2020</c:v>
                </c:pt>
                <c:pt idx="24">
                  <c:v>2021</c:v>
                </c:pt>
                <c:pt idx="25">
                  <c:v>2021</c:v>
                </c:pt>
                <c:pt idx="26">
                  <c:v>2021</c:v>
                </c:pt>
                <c:pt idx="27">
                  <c:v>2021</c:v>
                </c:pt>
                <c:pt idx="28">
                  <c:v>2021</c:v>
                </c:pt>
                <c:pt idx="29">
                  <c:v>2022</c:v>
                </c:pt>
                <c:pt idx="30">
                  <c:v>2022</c:v>
                </c:pt>
                <c:pt idx="31">
                  <c:v>2022</c:v>
                </c:pt>
                <c:pt idx="32">
                  <c:v>2022</c:v>
                </c:pt>
              </c:numCache>
            </c:numRef>
          </c:xVal>
          <c:yVal>
            <c:numRef>
              <c:f>'Analise anual'!$C$70:$C$102</c:f>
              <c:numCache>
                <c:formatCode>General</c:formatCode>
                <c:ptCount val="33"/>
                <c:pt idx="0">
                  <c:v>9</c:v>
                </c:pt>
                <c:pt idx="1">
                  <c:v>1</c:v>
                </c:pt>
                <c:pt idx="2">
                  <c:v>6</c:v>
                </c:pt>
                <c:pt idx="3">
                  <c:v>5</c:v>
                </c:pt>
                <c:pt idx="4">
                  <c:v>8</c:v>
                </c:pt>
                <c:pt idx="5">
                  <c:v>3</c:v>
                </c:pt>
                <c:pt idx="6">
                  <c:v>5</c:v>
                </c:pt>
                <c:pt idx="7">
                  <c:v>5</c:v>
                </c:pt>
                <c:pt idx="8">
                  <c:v>8</c:v>
                </c:pt>
                <c:pt idx="9">
                  <c:v>3</c:v>
                </c:pt>
                <c:pt idx="10">
                  <c:v>7</c:v>
                </c:pt>
                <c:pt idx="11">
                  <c:v>5</c:v>
                </c:pt>
                <c:pt idx="12">
                  <c:v>8</c:v>
                </c:pt>
                <c:pt idx="13">
                  <c:v>3</c:v>
                </c:pt>
                <c:pt idx="14">
                  <c:v>7</c:v>
                </c:pt>
                <c:pt idx="15">
                  <c:v>5</c:v>
                </c:pt>
                <c:pt idx="16">
                  <c:v>8</c:v>
                </c:pt>
                <c:pt idx="17">
                  <c:v>3</c:v>
                </c:pt>
                <c:pt idx="18">
                  <c:v>1</c:v>
                </c:pt>
                <c:pt idx="19">
                  <c:v>5</c:v>
                </c:pt>
                <c:pt idx="20">
                  <c:v>9</c:v>
                </c:pt>
                <c:pt idx="21">
                  <c:v>3</c:v>
                </c:pt>
                <c:pt idx="22">
                  <c:v>6</c:v>
                </c:pt>
                <c:pt idx="23">
                  <c:v>5</c:v>
                </c:pt>
                <c:pt idx="24">
                  <c:v>9</c:v>
                </c:pt>
                <c:pt idx="25">
                  <c:v>3</c:v>
                </c:pt>
                <c:pt idx="26">
                  <c:v>3</c:v>
                </c:pt>
                <c:pt idx="27">
                  <c:v>5</c:v>
                </c:pt>
                <c:pt idx="28">
                  <c:v>10</c:v>
                </c:pt>
                <c:pt idx="29">
                  <c:v>11</c:v>
                </c:pt>
                <c:pt idx="30">
                  <c:v>3</c:v>
                </c:pt>
                <c:pt idx="31">
                  <c:v>6</c:v>
                </c:pt>
                <c:pt idx="32">
                  <c:v>5</c:v>
                </c:pt>
              </c:numCache>
            </c:numRef>
          </c:yVal>
          <c:smooth val="0"/>
          <c:extLst>
            <c:ext xmlns:c16="http://schemas.microsoft.com/office/drawing/2014/chart" uri="{C3380CC4-5D6E-409C-BE32-E72D297353CC}">
              <c16:uniqueId val="{00000000-FBFE-4B4D-9166-34440B05F48B}"/>
            </c:ext>
          </c:extLst>
        </c:ser>
        <c:ser>
          <c:idx val="1"/>
          <c:order val="1"/>
          <c:tx>
            <c:strRef>
              <c:f>'Analise anual'!$D$69</c:f>
              <c:strCache>
                <c:ptCount val="1"/>
                <c:pt idx="0">
                  <c:v>Regulada</c:v>
                </c:pt>
              </c:strCache>
            </c:strRef>
          </c:tx>
          <c:spPr>
            <a:ln w="19050" cap="rnd">
              <a:noFill/>
              <a:round/>
            </a:ln>
            <a:effectLst/>
          </c:spPr>
          <c:marker>
            <c:symbol val="circle"/>
            <c:size val="5"/>
            <c:spPr>
              <a:solidFill>
                <a:schemeClr val="accent2"/>
              </a:solidFill>
              <a:ln w="9525">
                <a:solidFill>
                  <a:schemeClr val="accent2"/>
                </a:solidFill>
              </a:ln>
              <a:effectLst/>
            </c:spPr>
          </c:marker>
          <c:xVal>
            <c:numRef>
              <c:f>'Analise anual'!$B$70:$B$102</c:f>
              <c:numCache>
                <c:formatCode>General</c:formatCode>
                <c:ptCount val="33"/>
                <c:pt idx="0">
                  <c:v>2015</c:v>
                </c:pt>
                <c:pt idx="1">
                  <c:v>2015</c:v>
                </c:pt>
                <c:pt idx="2">
                  <c:v>2015</c:v>
                </c:pt>
                <c:pt idx="3">
                  <c:v>2015</c:v>
                </c:pt>
                <c:pt idx="4">
                  <c:v>2016</c:v>
                </c:pt>
                <c:pt idx="5">
                  <c:v>2016</c:v>
                </c:pt>
                <c:pt idx="6">
                  <c:v>2016</c:v>
                </c:pt>
                <c:pt idx="7">
                  <c:v>2016</c:v>
                </c:pt>
                <c:pt idx="8">
                  <c:v>2017</c:v>
                </c:pt>
                <c:pt idx="9">
                  <c:v>2017</c:v>
                </c:pt>
                <c:pt idx="10">
                  <c:v>2017</c:v>
                </c:pt>
                <c:pt idx="11">
                  <c:v>2017</c:v>
                </c:pt>
                <c:pt idx="12">
                  <c:v>2018</c:v>
                </c:pt>
                <c:pt idx="13">
                  <c:v>2018</c:v>
                </c:pt>
                <c:pt idx="14">
                  <c:v>2018</c:v>
                </c:pt>
                <c:pt idx="15">
                  <c:v>2018</c:v>
                </c:pt>
                <c:pt idx="16">
                  <c:v>2019</c:v>
                </c:pt>
                <c:pt idx="17">
                  <c:v>2019</c:v>
                </c:pt>
                <c:pt idx="18">
                  <c:v>2019</c:v>
                </c:pt>
                <c:pt idx="19">
                  <c:v>2019</c:v>
                </c:pt>
                <c:pt idx="20">
                  <c:v>2020</c:v>
                </c:pt>
                <c:pt idx="21">
                  <c:v>2020</c:v>
                </c:pt>
                <c:pt idx="22">
                  <c:v>2020</c:v>
                </c:pt>
                <c:pt idx="23">
                  <c:v>2020</c:v>
                </c:pt>
                <c:pt idx="24">
                  <c:v>2021</c:v>
                </c:pt>
                <c:pt idx="25">
                  <c:v>2021</c:v>
                </c:pt>
                <c:pt idx="26">
                  <c:v>2021</c:v>
                </c:pt>
                <c:pt idx="27">
                  <c:v>2021</c:v>
                </c:pt>
                <c:pt idx="28">
                  <c:v>2021</c:v>
                </c:pt>
                <c:pt idx="29">
                  <c:v>2022</c:v>
                </c:pt>
                <c:pt idx="30">
                  <c:v>2022</c:v>
                </c:pt>
                <c:pt idx="31">
                  <c:v>2022</c:v>
                </c:pt>
                <c:pt idx="32">
                  <c:v>2022</c:v>
                </c:pt>
              </c:numCache>
            </c:numRef>
          </c:xVal>
          <c:yVal>
            <c:numRef>
              <c:f>'Analise anual'!$D$70:$D$102</c:f>
              <c:numCache>
                <c:formatCode>General</c:formatCode>
                <c:ptCount val="33"/>
                <c:pt idx="0">
                  <c:v>10</c:v>
                </c:pt>
                <c:pt idx="1">
                  <c:v>8</c:v>
                </c:pt>
                <c:pt idx="2">
                  <c:v>10</c:v>
                </c:pt>
                <c:pt idx="3">
                  <c:v>9</c:v>
                </c:pt>
                <c:pt idx="4">
                  <c:v>10</c:v>
                </c:pt>
                <c:pt idx="5">
                  <c:v>8</c:v>
                </c:pt>
                <c:pt idx="6">
                  <c:v>10</c:v>
                </c:pt>
                <c:pt idx="7">
                  <c:v>9</c:v>
                </c:pt>
                <c:pt idx="8">
                  <c:v>10</c:v>
                </c:pt>
                <c:pt idx="9">
                  <c:v>8</c:v>
                </c:pt>
                <c:pt idx="10">
                  <c:v>10</c:v>
                </c:pt>
                <c:pt idx="11">
                  <c:v>9</c:v>
                </c:pt>
                <c:pt idx="12">
                  <c:v>10</c:v>
                </c:pt>
                <c:pt idx="13">
                  <c:v>8</c:v>
                </c:pt>
                <c:pt idx="14">
                  <c:v>9</c:v>
                </c:pt>
                <c:pt idx="15">
                  <c:v>9</c:v>
                </c:pt>
                <c:pt idx="16">
                  <c:v>10</c:v>
                </c:pt>
                <c:pt idx="17">
                  <c:v>7</c:v>
                </c:pt>
                <c:pt idx="18">
                  <c:v>2</c:v>
                </c:pt>
                <c:pt idx="19">
                  <c:v>9</c:v>
                </c:pt>
                <c:pt idx="20">
                  <c:v>10</c:v>
                </c:pt>
                <c:pt idx="21">
                  <c:v>7</c:v>
                </c:pt>
                <c:pt idx="22">
                  <c:v>10</c:v>
                </c:pt>
                <c:pt idx="23">
                  <c:v>9</c:v>
                </c:pt>
                <c:pt idx="24">
                  <c:v>9</c:v>
                </c:pt>
                <c:pt idx="25">
                  <c:v>7</c:v>
                </c:pt>
                <c:pt idx="26">
                  <c:v>10</c:v>
                </c:pt>
                <c:pt idx="27">
                  <c:v>7</c:v>
                </c:pt>
                <c:pt idx="28">
                  <c:v>8</c:v>
                </c:pt>
                <c:pt idx="29">
                  <c:v>10</c:v>
                </c:pt>
                <c:pt idx="30">
                  <c:v>7</c:v>
                </c:pt>
                <c:pt idx="31">
                  <c:v>10</c:v>
                </c:pt>
                <c:pt idx="32">
                  <c:v>9</c:v>
                </c:pt>
              </c:numCache>
            </c:numRef>
          </c:yVal>
          <c:smooth val="0"/>
          <c:extLst>
            <c:ext xmlns:c16="http://schemas.microsoft.com/office/drawing/2014/chart" uri="{C3380CC4-5D6E-409C-BE32-E72D297353CC}">
              <c16:uniqueId val="{00000001-FBFE-4B4D-9166-34440B05F48B}"/>
            </c:ext>
          </c:extLst>
        </c:ser>
        <c:dLbls>
          <c:showLegendKey val="0"/>
          <c:showVal val="0"/>
          <c:showCatName val="0"/>
          <c:showSerName val="0"/>
          <c:showPercent val="0"/>
          <c:showBubbleSize val="0"/>
        </c:dLbls>
        <c:axId val="707328687"/>
        <c:axId val="319190175"/>
      </c:scatterChart>
      <c:valAx>
        <c:axId val="707328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19190175"/>
        <c:crosses val="autoZero"/>
        <c:crossBetween val="midCat"/>
      </c:valAx>
      <c:valAx>
        <c:axId val="319190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0732868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Cec20</b:Tag>
    <b:SourceType>JournalArticle</b:SourceType>
    <b:Guid>{A12BB375-7B68-4B00-BD93-694571B147F5}</b:Guid>
    <b:Title>Formação do Preço de Venda: Um Estudo Sobre Empresas Varejistas de Confecções Femininas na Cidade de Currais Novos/RN</b:Title>
    <b:JournalName>Revista Capital Científico</b:JournalName>
    <b:Year>2020</b:Year>
    <b:Pages>82-97</b:Pages>
    <b:Author>
      <b:Author>
        <b:NameList>
          <b:Person>
            <b:Last>Silva</b:Last>
            <b:First>Cecília</b:First>
            <b:Middle>Bianca de Assis</b:Middle>
          </b:Person>
          <b:Person>
            <b:Last>Batista</b:Last>
            <b:First>Bárbara</b:First>
            <b:Middle>Carine da Silva</b:Middle>
          </b:Person>
          <b:Person>
            <b:Last>Karla</b:Last>
            <b:First>João</b:First>
            <b:Middle>Paulo Oliveira Lucena e</b:Middle>
          </b:Person>
          <b:Person>
            <b:Last>Cruz</b:Last>
            <b:First>Dayane</b:First>
            <b:Middle>Bezerra</b:Middle>
          </b:Person>
        </b:NameList>
      </b:Author>
    </b:Author>
    <b:Month>Janeiro/Março</b:Month>
    <b:Volume>18</b:Volume>
    <b:Issue>1</b:Issue>
    <b:RefOrder>2</b:RefOrder>
  </b:Source>
</b:Sources>
</file>

<file path=customXml/itemProps1.xml><?xml version="1.0" encoding="utf-8"?>
<ds:datastoreItem xmlns:ds="http://schemas.openxmlformats.org/officeDocument/2006/customXml" ds:itemID="{3DA7E2C6-DD04-4C70-9182-A651DE97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6615</Words>
  <Characters>35721</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Stefanie Garcia</cp:lastModifiedBy>
  <cp:revision>3</cp:revision>
  <cp:lastPrinted>2023-09-22T16:05:00Z</cp:lastPrinted>
  <dcterms:created xsi:type="dcterms:W3CDTF">2023-09-22T16:05:00Z</dcterms:created>
  <dcterms:modified xsi:type="dcterms:W3CDTF">2023-09-22T16:06:00Z</dcterms:modified>
</cp:coreProperties>
</file>